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jpeg" Extension="jpeg"/>
  <Default ContentType="image/jpeg" Extension="jpg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 w15">
  <w:body>
    <w:p>
      <w:pPr>
        <w:shd w:fill="1f2937" w:color="auto" w:val="clear"/>
        <w:spacing w:before="0" w:after="0" w:line="240" w:lineRule="exact"/>
      </w:pPr>
      <w:r>
        <w:drawing>
          <wp:anchor distT="0" distB="0" distL="0" distR="0" simplePos="0" allowOverlap="1" behindDoc="0" locked="0" layoutInCell="0" relativeHeight="657225">
            <wp:simplePos x="0" y="0"/>
            <wp:positionH relativeFrom="page">
              <wp:posOffset>818515</wp:posOffset>
            </wp:positionH>
            <wp:positionV relativeFrom="page">
              <wp:posOffset>972185</wp:posOffset>
            </wp:positionV>
            <wp:extent cx="657225" cy="65722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oundRect">
                      <a:avLst>
                        <a:gd name="adj" fmla="val 5000"/>
                      </a:avLst>
                    </a:prstGeom>
                  </pic:spPr>
                </pic:pic>
              </a:graphicData>
            </a:graphic>
          </wp:anchor>
        </w:drawing>
      </w:r>
    </w:p>
    <w:tbl>
      <w:tblPr>
        <w:tblW w:type="dxa" w:w="1190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906"/>
      </w:tblGrid>
      <w:tr>
        <w:trPr>
          <w:trHeight w:val="16443" w:hRule="exact"/>
        </w:trPr>
        <w:tc>
          <w:tcPr>
            <w:tcW w:type="dxa" w:w="11906"/>
            <w:tcBorders>
              <w:top w:val="nil"/>
              <w:left w:val="nil"/>
              <w:bottom w:val="nil"/>
              <w:right w:val="nil"/>
            </w:tcBorders>
            <w:shd w:fill="1f2937" w:color="auto" w:val="clear"/>
            <w:tcMar>
              <w:top w:type="dxa" w:w="0"/>
              <w:left w:type="dxa" w:w="1289"/>
              <w:bottom w:type="dxa" w:w="0"/>
              <w:right w:type="dxa" w:w="1289"/>
            </w:tcMar>
            <w:vAlign w:val="center"/>
          </w:tcPr>
          <w:p>
            <w:pPr>
              <w:pStyle w:val="Title"/>
              <w:keepNext/>
              <w:keepLines/>
              <w:spacing w:after="400"/>
              <w:jc w:val="left"/>
              <w:rPr>
                <w:color w:val="ffffff"/>
              </w:rPr>
            </w:pPr>
            <w:r>
              <w:rPr>
                <w:rFonts w:ascii="Tahoma" w:cs="Tahoma" w:eastAsia="Tahoma" w:hAnsi="Tahoma"/>
                <w:b/>
                <w:bCs/>
                <w:color w:val="ffffff"/>
                <w:spacing w:val="-18"/>
                <w:sz w:val="59"/>
                <w:szCs w:val="59"/>
              </w:rPr>
              <w:t xml:space="preserve">Project Skyway — Board Approval Deck</w:t>
            </w:r>
          </w:p>
          <w:p>
            <w:pPr>
              <w:keepNext/>
              <w:keepLines/>
              <w:spacing w:after="200"/>
              <w:jc w:val="left"/>
              <w:rPr>
                <w:color w:val="ffffff"/>
              </w:rPr>
            </w:pPr>
            <w:r>
              <w:rPr>
                <w:rFonts w:ascii="Tahoma" w:cs="Tahoma" w:eastAsia="Tahoma" w:hAnsi="Tahoma"/>
                <w:b/>
                <w:bCs/>
                <w:color w:val="ffffff"/>
                <w:sz w:val="34"/>
                <w:szCs w:val="34"/>
              </w:rPr>
              <w:t xml:space="preserve">Supporting Brief — Proposed Acquisition of DroneUp, LLC (Board Confidential)</w:t>
            </w:r>
          </w:p>
          <w:p>
            <w:pPr>
              <w:spacing w:after="20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9"/>
                <w:szCs w:val="19"/>
              </w:rPr>
              <w:t xml:space="preserve">Author:</w:t>
            </w:r>
            <w:r>
              <w:rPr>
                <w:rFonts w:ascii="Inter" w:cs="Inter" w:eastAsia="Inter" w:hAnsi="Inter"/>
                <w:color w:val="d2d4d7"/>
                <w:sz w:val="19"/>
                <w:szCs w:val="19"/>
              </w:rPr>
              <w:t xml:space="preserve"> Walmart Corporate Development
</w:t>
            </w:r>
            <w:r>
              <w:rPr>
                <w:rFonts w:ascii="Inter" w:cs="Inter" w:eastAsia="Inter" w:hAnsi="Inter"/>
                <w:b/>
                <w:bCs/>
                <w:color w:val="ffffff"/>
                <w:sz w:val="19"/>
                <w:szCs w:val="19"/>
              </w:rPr>
              <w:t xml:space="preserve">Date:</w:t>
            </w:r>
            <w:r>
              <w:rPr>
                <w:rFonts w:ascii="Inter" w:cs="Inter" w:eastAsia="Inter" w:hAnsi="Inter"/>
                <w:color w:val="d2d4d7"/>
                <w:sz w:val="19"/>
                <w:szCs w:val="19"/>
              </w:rPr>
              <w:t xml:space="preserve"> August 2026</w:t>
            </w:r>
          </w:p>
        </w:tc>
      </w:tr>
      <w:tr>
        <w:trPr>
          <w:trHeight w:val="155" w:hRule="exact"/>
        </w:trPr>
        <w:tc>
          <w:tcPr>
            <w:tcW w:type="dxa" w:w="11906"/>
            <w:tcBorders>
              <w:top w:val="nil"/>
              <w:left w:val="nil"/>
              <w:bottom w:val="nil"/>
              <w:right w:val="nil"/>
            </w:tcBorders>
            <w:shd w:fill="3b82f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1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pStyle w:val="Heading1"/>
        <w:keepNext/>
        <w:keepLines/>
        <w:spacing w:before="270" w:after="90" w:line="240"/>
        <w:rPr>
          <w:color w:val="0a0a0a"/>
        </w:rPr>
      </w:pPr>
      <w:bookmarkStart w:name="section_c2b8e425" w:id="1"/>
      <w:r>
        <w:rPr>
          <w:rFonts w:ascii="Inter" w:cs="Inter" w:eastAsia="Inter" w:hAnsi="Inter"/>
          <w:b/>
          <w:bCs/>
          <w:color w:val="0a0a0a"/>
          <w:spacing w:val="-10"/>
        </w:rPr>
        <w:t xml:space="preserve">Project Skyway — Board Approval Deck: Supporting Brief</w:t>
      </w:r>
      <w:bookmarkEnd w:id="1"/>
    </w:p>
    <w:p>
      <w:pPr>
        <w:spacing w:after="200" w:line="276"/>
      </w:pPr>
      <w:r>
        <w:rPr>
          <w:b/>
          <w:bCs/>
        </w:rPr>
        <w:t xml:space="preserve">Prepared by:</w:t>
      </w:r>
      <w:r>
        <w:t xml:space="preserve"> Walmart Corporate Development | </w:t>
      </w:r>
      <w:r>
        <w:rPr>
          <w:b/>
          <w:bCs/>
        </w:rPr>
        <w:t xml:space="preserve">Classification:</w:t>
      </w:r>
      <w:r>
        <w:t xml:space="preserve"> Board Confidential | </w:t>
      </w:r>
      <w:r>
        <w:rPr>
          <w:b/>
          <w:bCs/>
        </w:rPr>
        <w:t xml:space="preserve">Date:</w:t>
      </w:r>
      <w:r>
        <w:t xml:space="preserve"> August 2026</w:t>
      </w:r>
    </w:p>
    <w:p>
      <w:pPr>
        <w:spacing w:after="200" w:line="276"/>
      </w:pPr>
      <w:r>
        <w:t xml:space="preserve">This document supports the 11-slide board deck in the </w:t>
      </w:r>
      <w:r>
        <w:rPr>
          <w:b/>
          <w:bCs/>
        </w:rPr>
        <w:t xml:space="preserve">Slides tab</w:t>
      </w:r>
      <w:r>
        <w:t xml:space="preserve">. It records the storyline, the key facts behind each slide, and the reference documents each figure is drawn from. </w:t>
      </w:r>
      <w:r>
        <w:rPr>
          <w:b/>
          <w:bCs/>
        </w:rPr>
        <w:t xml:space="preserve">All transaction and financial figures are illustrative</w:t>
      </w:r>
      <w:r>
        <w:t xml:space="preserve"> pending diligence and negotiation.</w:t>
      </w:r>
    </w:p>
    <w:p>
      <w:pPr>
        <w:pStyle w:val="Heading2"/>
        <w:keepNext/>
        <w:keepLines/>
        <w:spacing w:before="210" w:after="90" w:line="240"/>
        <w:rPr>
          <w:color w:val="0a0a0a"/>
        </w:rPr>
      </w:pPr>
      <w:bookmarkStart w:name="section_9b1a020" w:id="1"/>
      <w:r>
        <w:rPr>
          <w:rFonts w:ascii="Inter" w:cs="Inter" w:eastAsia="Inter" w:hAnsi="Inter"/>
          <w:b/>
          <w:bCs/>
          <w:color w:val="0a0a0a"/>
          <w:spacing w:val="-8"/>
        </w:rPr>
        <w:t xml:space="preserve">Reference Documents</w:t>
      </w:r>
      <w:bookmarkEnd w:id="1"/>
    </w:p>
    <w:p>
      <w:pPr>
        <w:spacing w:after="200" w:line="276"/>
      </w:pPr>
      <w:r>
        <w:t xml:space="preserve">The deck is built entirely from four internal documents, referenced by name: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hyperlink w:history="1" r:id="rIdepty-wdpj3zhgjs66yhm8">
        <w:r>
          <w:rPr>
            <w:rStyle w:val="Hyperlink"/>
            <w:b/>
            <w:bCs/>
          </w:rPr>
          <w:t xml:space="preserve">Project Skyway — Investment Memorandum: Acquisition of DroneUp</w:t>
        </w:r>
      </w:hyperlink>
      <w:r>
        <w:t xml:space="preserve"> [F-1] — the primary source: thesis, the ask, illustrative deal envelope, and strategic rationale.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hyperlink w:history="1" r:id="rIdrpg_kjfb7vtnfht6dlnya">
        <w:r>
          <w:rPr>
            <w:rStyle w:val="Hyperlink"/>
            <w:b/>
            <w:bCs/>
          </w:rPr>
          <w:t xml:space="preserve">DroneUp Company Profile: Strategic Fit Analysis for Walmart</w:t>
        </w:r>
      </w:hyperlink>
      <w:r>
        <w:t xml:space="preserve"> [F-2] — fit analysis, competitive landscape, valuation framework, buy-vs-build model, risks and deal structure.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hyperlink w:history="1" r:id="rIdft11njp_ophcax3dngac4">
        <w:r>
          <w:rPr>
            <w:rStyle w:val="Hyperlink"/>
            <w:b/>
            <w:bCs/>
          </w:rPr>
          <w:t xml:space="preserve">Beating Amazon: Walmart's Strategic Playbook for Online Sales &amp; Drone Delivery</w:t>
        </w:r>
      </w:hyperlink>
      <w:r>
        <w:t xml:space="preserve"> [F-4] — strategic context: Walmart's e-commerce position, proximity advantage, and the immediacy stack.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hyperlink w:history="1" r:id="rIdhw1fhg3uovy65whtz7bly">
        <w:r>
          <w:rPr>
            <w:rStyle w:val="Hyperlink"/>
            <w:b/>
            <w:bCs/>
          </w:rPr>
          <w:t xml:space="preserve">DroneUp Post-Merger Integration Plan</w:t>
        </w:r>
      </w:hyperlink>
      <w:r>
        <w:t xml:space="preserve"> [F-5] — Day 1 / Day 30 / Day 100 integration workstreams underpinning the integration timeline slide.</w:t>
      </w:r>
    </w:p>
    <w:p>
      <w:pPr>
        <w:pStyle w:val="Heading2"/>
        <w:keepNext/>
        <w:keepLines/>
        <w:spacing w:before="210" w:after="90" w:line="240"/>
        <w:rPr>
          <w:color w:val="0a0a0a"/>
        </w:rPr>
      </w:pPr>
      <w:bookmarkStart w:name="section_a4f9aed4" w:id="1"/>
      <w:r>
        <w:rPr>
          <w:rFonts w:ascii="Inter" w:cs="Inter" w:eastAsia="Inter" w:hAnsi="Inter"/>
          <w:b/>
          <w:bCs/>
          <w:color w:val="0a0a0a"/>
          <w:spacing w:val="-8"/>
        </w:rPr>
        <w:t xml:space="preserve">Deck Storyline (11 Slides)</w:t>
      </w:r>
      <w:bookmarkEnd w:id="1"/>
    </w:p>
    <w:p>
      <w:pPr>
        <w:spacing w:after="200" w:line="276"/>
        <w:ind w:left="520" w:hanging="0"/>
      </w:pPr>
      <w:r>
        <w:t xml:space="preserve">1. </w:t>
      </w:r>
      <w:r>
        <w:rPr>
          <w:b/>
          <w:bCs/>
        </w:rPr>
        <w:t xml:space="preserve">Title</w:t>
      </w:r>
      <w:r>
        <w:t xml:space="preserve"> — Project Skyway, board confidential, figures illustrative.</w:t>
      </w:r>
    </w:p>
    <w:p>
      <w:pPr>
        <w:spacing w:after="200" w:line="276"/>
        <w:ind w:left="520" w:hanging="0"/>
      </w:pPr>
      <w:r>
        <w:t xml:space="preserve">2. </w:t>
      </w:r>
      <w:r>
        <w:rPr>
          <w:b/>
          <w:bCs/>
        </w:rPr>
        <w:t xml:space="preserve">Executive Summary &amp; The Ask</w:t>
      </w:r>
      <w:r>
        <w:t xml:space="preserve"> — approve exclusive negotiations and confirmatory diligence for 100% of DroneUp, LLC at an illustrative </w:t>
      </w:r>
      <w:r>
        <w:rPr>
          <w:b/>
          <w:bCs/>
        </w:rPr>
        <w:t xml:space="preserve">$150–300M</w:t>
      </w:r>
      <w:r>
        <w:t xml:space="preserve"> (60–70% cash, 30–40% milestone earn-out); target LOI within 45 days [F-1].</w:t>
      </w:r>
    </w:p>
    <w:p>
      <w:pPr>
        <w:spacing w:after="200" w:line="276"/>
        <w:ind w:left="520" w:hanging="0"/>
      </w:pPr>
      <w:r>
        <w:t xml:space="preserve">3. </w:t>
      </w:r>
      <w:r>
        <w:rPr>
          <w:b/>
          <w:bCs/>
        </w:rPr>
        <w:t xml:space="preserve">Strategic Context</w:t>
      </w:r>
      <w:r>
        <w:t xml:space="preserve"> — drone delivery is Walmart's most differentiated weapon against Amazon, currently run entirely through third-party operators; the window is time-limited as FAA Part 108 finalizes [F-1][F-4].</w:t>
      </w:r>
    </w:p>
    <w:p>
      <w:pPr>
        <w:spacing w:after="200" w:line="276"/>
        <w:ind w:left="520" w:hanging="0"/>
      </w:pPr>
      <w:r>
        <w:t xml:space="preserve">4. </w:t>
      </w:r>
      <w:r>
        <w:rPr>
          <w:b/>
          <w:bCs/>
        </w:rPr>
        <w:t xml:space="preserve">Market Landscape</w:t>
      </w:r>
      <w:r>
        <w:t xml:space="preserve"> — chart of per-delivery economics and operator scale: Zipline 1.4M+ deliveries, Wing 450K+, Amazon Prime Air ~16K at ~$63/delivery; DroneUp is the only acquirable full-stack operator [F-2].</w:t>
      </w:r>
    </w:p>
    <w:p>
      <w:pPr>
        <w:spacing w:after="200" w:line="276"/>
        <w:ind w:left="520" w:hanging="0"/>
      </w:pPr>
      <w:r>
        <w:t xml:space="preserve">5. </w:t>
      </w:r>
      <w:r>
        <w:rPr>
          <w:b/>
          <w:bCs/>
        </w:rPr>
        <w:t xml:space="preserve">Why DroneUp (Fit Scorecard)</w:t>
      </w:r>
      <w:r>
        <w:t xml:space="preserve"> — ATOMx/AirMap UTM, Uncrew M:N software, FAA Part 135, DBX ground infrastructure, 20,000+ pilot network, three years of Walmart-specific data [F-1][F-2].</w:t>
      </w:r>
    </w:p>
    <w:p>
      <w:pPr>
        <w:spacing w:after="200" w:line="276"/>
        <w:ind w:left="520" w:hanging="0"/>
      </w:pPr>
      <w:r>
        <w:t xml:space="preserve">6. </w:t>
      </w:r>
      <w:r>
        <w:rPr>
          <w:b/>
          <w:bCs/>
        </w:rPr>
        <w:t xml:space="preserve">Transaction Overview (Illustrative)</w:t>
      </w:r>
      <w:r>
        <w:t xml:space="preserve"> — structure, consideration mix, earn-out milestones [F-1][F-2].</w:t>
      </w:r>
    </w:p>
    <w:p>
      <w:pPr>
        <w:spacing w:after="200" w:line="276"/>
        <w:ind w:left="520" w:hanging="0"/>
      </w:pPr>
      <w:r>
        <w:t xml:space="preserve">7. </w:t>
      </w:r>
      <w:r>
        <w:rPr>
          <w:b/>
          <w:bCs/>
        </w:rPr>
        <w:t xml:space="preserve">Valuation Summary</w:t>
      </w:r>
      <w:r>
        <w:t xml:space="preserve"> — chart of illustrative EV ranges vs. comparable operators (A2Z $50–150M, Matternet $200–350M, Flytrex $200–400M; Zipline ~$7.6B off-scale) and buy-vs-build NPV ($455.5M vs. $617.0M @ 8.5% WACC = </w:t>
      </w:r>
      <w:r>
        <w:rPr>
          <w:b/>
          <w:bCs/>
        </w:rPr>
        <w:t xml:space="preserve">$161.5M advantage to Buy</w:t>
      </w:r>
      <w:r>
        <w:t xml:space="preserve">) [F-2].</w:t>
      </w:r>
    </w:p>
    <w:p>
      <w:pPr>
        <w:spacing w:after="200" w:line="276"/>
        <w:ind w:left="520" w:hanging="0"/>
      </w:pPr>
      <w:r>
        <w:t xml:space="preserve">8. </w:t>
      </w:r>
      <w:r>
        <w:rPr>
          <w:b/>
          <w:bCs/>
        </w:rPr>
        <w:t xml:space="preserve">Synergies</w:t>
      </w:r>
      <w:r>
        <w:t xml:space="preserve"> — cost-per-delivery glidepath from ~$30 today to ~$5.50 by Year 5 (illustrative), driven by M:N operations (60–80% labor reduction), DBX automation (40–50% ground-ops reduction), and BVLOS radius expansion (~300% more serviceable households per hub) [F-2].</w:t>
      </w:r>
    </w:p>
    <w:p>
      <w:pPr>
        <w:spacing w:after="200" w:line="276"/>
        <w:ind w:left="520" w:hanging="0"/>
      </w:pPr>
      <w:r>
        <w:t xml:space="preserve">9. </w:t>
      </w:r>
      <w:r>
        <w:rPr>
          <w:b/>
          <w:bCs/>
        </w:rPr>
        <w:t xml:space="preserve">Integration Timeline</w:t>
      </w:r>
      <w:r>
        <w:t xml:space="preserve"> — Day 1 (protect) / Day 30 (nothing unknown) / Day 100 (scale-ready) gates, then Phase 2 platform integration (months 7–18) and Phase 3 scaling to 50+ locations (months 19–36) [F-2][F-5].</w:t>
      </w:r>
    </w:p>
    <w:p>
      <w:pPr>
        <w:spacing w:after="200" w:line="276"/>
        <w:ind w:left="520" w:hanging="0"/>
      </w:pPr>
      <w:r>
        <w:t xml:space="preserve">10. </w:t>
      </w:r>
      <w:r>
        <w:rPr>
          <w:b/>
          <w:bCs/>
        </w:rPr>
        <w:t xml:space="preserve">Risks &amp; Mitigations</w:t>
      </w:r>
      <w:r>
        <w:t xml:space="preserve"> — unit economics, talent retention, integration complexity, Part 108 timing, competitive response [F-2].</w:t>
      </w:r>
    </w:p>
    <w:p>
      <w:pPr>
        <w:spacing w:after="200" w:line="276"/>
        <w:ind w:left="520" w:hanging="0"/>
      </w:pPr>
      <w:r>
        <w:t xml:space="preserve">11. </w:t>
      </w:r>
      <w:r>
        <w:rPr>
          <w:b/>
          <w:bCs/>
        </w:rPr>
        <w:t xml:space="preserve">Recommendation &amp; Next Steps</w:t>
      </w:r>
      <w:r>
        <w:t xml:space="preserve"> — approve the resolution; LOI in 45 days; stand up the Integration Management Office pre-close [F-1][F-5].</w:t>
      </w:r>
    </w:p>
    <w:p>
      <w:pPr>
        <w:pStyle w:val="Heading2"/>
        <w:keepNext/>
        <w:keepLines/>
        <w:spacing w:before="210" w:after="90" w:line="240"/>
        <w:rPr>
          <w:color w:val="0a0a0a"/>
        </w:rPr>
      </w:pPr>
      <w:bookmarkStart w:name="section_81de0d42" w:id="1"/>
      <w:r>
        <w:rPr>
          <w:rFonts w:ascii="Inter" w:cs="Inter" w:eastAsia="Inter" w:hAnsi="Inter"/>
          <w:b/>
          <w:bCs/>
          <w:color w:val="0a0a0a"/>
          <w:spacing w:val="-8"/>
        </w:rPr>
        <w:t xml:space="preserve">Key Figures Register</w:t>
      </w:r>
      <w:bookmarkEnd w:id="1"/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57"/>
        <w:gridCol w:w="3733"/>
        <w:gridCol w:w="1757"/>
        <w:gridCol w:w="1553"/>
      </w:tblGrid>
      <w:tr>
        <w:trPr>
          <w:tblHeader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7fafc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</w:rPr>
              <w:t xml:space="preserve">Figure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7fafc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7fafc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7fafc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</w:rPr>
              <w:t xml:space="preserve">Source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Consideration envelope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$150–300M (60–70% cash / 30–40% earn-out)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  <w:color w:val="374151"/>
                <w:sz w:val="20"/>
                <w:szCs w:val="20"/>
              </w:rPr>
              <w:t xml:space="preserve">Illustrative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[F-1]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Buy vs. Build NPV @ 8.5% WACC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$455.5M vs. $617.0M — $161.5M Buy advantage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  <w:color w:val="374151"/>
                <w:sz w:val="20"/>
                <w:szCs w:val="20"/>
              </w:rPr>
              <w:t xml:space="preserve">Illustrative model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Y5 cost per delivery (Buy vs. Build)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$5.50 vs. $12.00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  <w:color w:val="374151"/>
                <w:sz w:val="20"/>
                <w:szCs w:val="20"/>
              </w:rPr>
              <w:t xml:space="preserve">Illustrative model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DroneUp est. revenue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~$9M (2024E, third-party estimate, unaudited)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Estimate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[F-1][F-2]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Employees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~291 (2026), from ~371 peak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Reported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[F-1]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FAA Part 135 air carrier certificate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Granted Dec 2024; ~5-mile BVLOS radius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Fact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[F-1][F-2]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Certified pilot network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20,000+ (largest in U.S.)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Reported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Walmart drone deliveries since 2021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150,000+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Reported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[F-4]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Walmart drone-enabled sites by 2027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270+ planned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Plan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[F-1][F-4]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Store proximity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4,700+ stores; 90% of U.S. within 10 miles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Fact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[F-4]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Prior partnership economics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~$30/delivery vs. sub-$7 target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Reported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Amazon Prime Air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~16,000 deliveries; ~$63/delivery (2025 est.)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Estimate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  <w:tr>
        <w:trPr>
          <w:cantSplit w:val="false"/>
        </w:trPr>
        <w:tc>
          <w:tcPr>
            <w:tcW w:type="pct" w:w="29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Comparable EV ranges</w:t>
            </w:r>
          </w:p>
        </w:tc>
        <w:tc>
          <w:tcPr>
            <w:tcW w:type="pct" w:w="37.3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A2Z $50–150M; Matternet $200–350M; Flytrex $200–400M; Zipline ~$7.6B</w:t>
            </w:r>
          </w:p>
        </w:tc>
        <w:tc>
          <w:tcPr>
            <w:tcW w:type="pct" w:w="17.57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b/>
                <w:bCs/>
                <w:color w:val="374151"/>
                <w:sz w:val="20"/>
                <w:szCs w:val="20"/>
              </w:rPr>
              <w:t xml:space="preserve">Illustrative estimates</w:t>
            </w:r>
          </w:p>
        </w:tc>
        <w:tc>
          <w:tcPr>
            <w:tcW w:type="pct" w:w="15.53%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 w:line="276"/>
              <w:jc w:val="left"/>
            </w:pPr>
            <w:r>
              <w:rPr>
                <w:color w:val="4b5563"/>
                <w:sz w:val="20"/>
                <w:szCs w:val="20"/>
              </w:rPr>
              <w:t xml:space="preserve">[F-2]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single" w:color="e8e8e8" w:sz="4"/>
              <w:left w:val="single" w:color="2563eb" w:sz="16"/>
              <w:bottom w:val="single" w:color="e8e8e8" w:sz="4"/>
              <w:right w:val="single" w:color="e8e8e8" w:sz="4"/>
            </w:tcBorders>
            <w:shd w:fill="f0f5ff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keepNext/>
              <w:keepLines/>
              <w:spacing w:after="120"/>
            </w:pPr>
            <w:r>
              <w:rPr>
                <w:b/>
                <w:bCs/>
                <w:color w:val="0a0a0a"/>
              </w:rPr>
              <w:t xml:space="preserve">💭  Illustrative Figures</w:t>
            </w:r>
          </w:p>
          <w:p>
            <w:pPr>
              <w:spacing w:after="0"/>
            </w:pPr>
            <w:r>
              <w:rPr>
                <w:color w:val="4b5563"/>
                <w:sz w:val="20"/>
                <w:szCs w:val="20"/>
              </w:rPr>
              <w:t xml:space="preserve">All valuation, consideration, NPV, synergy, and cost-per-delivery figures in the deck are illustrative — drawn from the internal buy-vs-build model and third-party revenue estimates, not audited financials or negotiated terms. Confirmatory diligence is a condition of the recommendation.</w:t>
            </w:r>
          </w:p>
        </w:tc>
      </w:tr>
    </w:tbl>
    <w:p>
      <w:pPr>
        <w:spacing w:after="200"/>
      </w:pPr>
    </w:p>
    <w:sectPr w:rsidR="0021101C" w:rsidRPr="00E3001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3F52" w14:textId="77777777" w:rsidR="00192FE9" w:rsidRDefault="00192FE9" w:rsidP="00CD6A9C">
      <w:r>
        <w:separator/>
      </w:r>
    </w:p>
  </w:endnote>
  <w:endnote w:type="continuationSeparator" w:id="0">
    <w:p w14:paraId="1494511E" w14:textId="77777777" w:rsidR="00192FE9" w:rsidRDefault="00192FE9" w:rsidP="00CD6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1082" w14:textId="10C61C93" w:rsidR="00CD6A9C" w:rsidRPr="00CD6A9C" w:rsidRDefault="00CD6A9C" w:rsidP="00CD6A9C">
    <w:pPr>
      <w:pStyle w:val="Footer"/>
      <w:jc w:val="center"/>
      <w:rPr>
        <w:rFonts w:asciiTheme="minorHAnsi" w:hAnsiTheme="minorHAnsi"/>
        <w:sz w:val="16"/>
        <w:szCs w:val="16"/>
      </w:rPr>
    </w:pPr>
    <w:r w:rsidRPr="00CD6A9C">
      <w:rPr>
        <w:rFonts w:asciiTheme="minorHAnsi" w:hAnsiTheme="minorHAnsi"/>
        <w:b/>
        <w:bCs/>
        <w:noProof/>
        <w:color w:val="F7CA35"/>
        <w:sz w:val="72"/>
        <w:szCs w:val="72"/>
      </w:rPr>
      <w:drawing>
        <wp:anchor distT="0" distB="0" distL="114300" distR="114300" simplePos="0" relativeHeight="251661312" behindDoc="1" locked="0" layoutInCell="1" allowOverlap="1" wp14:anchorId="5AE85788" wp14:editId="4142B06D">
          <wp:simplePos x="0" y="0"/>
          <wp:positionH relativeFrom="column">
            <wp:posOffset>-1107831</wp:posOffset>
          </wp:positionH>
          <wp:positionV relativeFrom="paragraph">
            <wp:posOffset>0</wp:posOffset>
          </wp:positionV>
          <wp:extent cx="4992856" cy="767570"/>
          <wp:effectExtent l="0" t="0" r="0" b="0"/>
          <wp:wrapNone/>
          <wp:docPr id="835690356" name="Picture 9">
            <a:extLst xmlns:a="http://schemas.openxmlformats.org/drawingml/2006/main">
              <a:ext uri="{FF2B5EF4-FFF2-40B4-BE49-F238E27FC236}">
                <a16:creationId xmlns:a16="http://schemas.microsoft.com/office/drawing/2014/main" id="{240399B0-F11E-C915-BEC2-32C4609530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240399B0-F11E-C915-BEC2-32C4609530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rot="10800000" flipH="1">
                    <a:off x="0" y="0"/>
                    <a:ext cx="4992856" cy="76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A9C">
      <w:rPr>
        <w:rFonts w:asciiTheme="minorHAnsi" w:hAnsiTheme="minorHAnsi"/>
        <w:b/>
        <w:bCs/>
        <w:sz w:val="15"/>
        <w:szCs w:val="15"/>
      </w:rPr>
      <w:t>Corp</w:t>
    </w:r>
    <w:r w:rsidRPr="00CD6A9C">
      <w:rPr>
        <w:rFonts w:asciiTheme="minorHAnsi" w:hAnsiTheme="minorHAnsi"/>
        <w:sz w:val="15"/>
        <w:szCs w:val="15"/>
      </w:rPr>
      <w:t>Dev.Ai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7F9B" w14:textId="77777777" w:rsidR="00192FE9" w:rsidRDefault="00192FE9" w:rsidP="00CD6A9C">
      <w:r>
        <w:separator/>
      </w:r>
    </w:p>
  </w:footnote>
  <w:footnote w:type="continuationSeparator" w:id="0">
    <w:p w14:paraId="72AD68B1" w14:textId="77777777" w:rsidR="00192FE9" w:rsidRDefault="00192FE9" w:rsidP="00CD6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C253" w14:textId="526711E9" w:rsidR="00CD6A9C" w:rsidRDefault="00CD6A9C">
    <w:pPr>
      <w:pStyle w:val="Header"/>
    </w:pPr>
    <w:r w:rsidRPr="00B26528">
      <w:rPr>
        <w:b/>
        <w:bCs/>
        <w:noProof/>
        <w:color w:val="F7CA35"/>
        <w:sz w:val="96"/>
        <w:szCs w:val="96"/>
      </w:rPr>
      <w:drawing>
        <wp:anchor distT="0" distB="0" distL="114300" distR="114300" simplePos="0" relativeHeight="251659264" behindDoc="1" locked="0" layoutInCell="1" allowOverlap="1" wp14:anchorId="763B784D" wp14:editId="6D88422B">
          <wp:simplePos x="0" y="0"/>
          <wp:positionH relativeFrom="column">
            <wp:posOffset>2435225</wp:posOffset>
          </wp:positionH>
          <wp:positionV relativeFrom="paragraph">
            <wp:posOffset>-447040</wp:posOffset>
          </wp:positionV>
          <wp:extent cx="4992856" cy="767570"/>
          <wp:effectExtent l="0" t="0" r="0" b="0"/>
          <wp:wrapNone/>
          <wp:docPr id="313683058" name="Picture 9">
            <a:extLst xmlns:a="http://schemas.openxmlformats.org/drawingml/2006/main">
              <a:ext uri="{FF2B5EF4-FFF2-40B4-BE49-F238E27FC236}">
                <a16:creationId xmlns:a16="http://schemas.microsoft.com/office/drawing/2014/main" id="{240399B0-F11E-C915-BEC2-32C4609530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240399B0-F11E-C915-BEC2-32C4609530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4992856" cy="76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2BC0C" w14:textId="77777777" w:rsidR="00CD6A9C" w:rsidRDefault="00CD6A9C">
    <w:pPr>
      <w:pStyle w:val="Header"/>
    </w:pPr>
  </w:p>
  <w:p w14:paraId="115101E7" w14:textId="32ED7218" w:rsidR="00CD6A9C" w:rsidRDefault="00CD6A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1EEE"/>
    <w:multiLevelType w:val="hybridMultilevel"/>
    <w:tmpl w:val="A570568C"/>
    <w:lvl w:ilvl="0" w:tplc="9DDA2706">
      <w:start w:val="1"/>
      <w:numFmt w:val="bullet"/>
      <w:lvlText w:val="•"/>
      <w:lvlJc w:val="left"/>
      <w:pPr>
        <w:ind w:left="72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1" w:tplc="7CD0CD52">
      <w:start w:val="1"/>
      <w:numFmt w:val="bullet"/>
      <w:lvlText w:val="◦"/>
      <w:lvlJc w:val="left"/>
      <w:pPr>
        <w:ind w:left="144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2" w:tplc="7108A202">
      <w:start w:val="1"/>
      <w:numFmt w:val="bullet"/>
      <w:lvlText w:val="▪"/>
      <w:lvlJc w:val="left"/>
      <w:pPr>
        <w:ind w:left="216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3" w:tplc="8E14275E">
      <w:start w:val="1"/>
      <w:numFmt w:val="bullet"/>
      <w:lvlText w:val="•"/>
      <w:lvlJc w:val="left"/>
      <w:pPr>
        <w:ind w:left="288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4" w:tplc="C37CE196">
      <w:start w:val="1"/>
      <w:numFmt w:val="bullet"/>
      <w:lvlText w:val="◦"/>
      <w:lvlJc w:val="left"/>
      <w:pPr>
        <w:ind w:left="360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5" w:tplc="F78EA62E">
      <w:start w:val="1"/>
      <w:numFmt w:val="bullet"/>
      <w:lvlText w:val="▪"/>
      <w:lvlJc w:val="left"/>
      <w:pPr>
        <w:ind w:left="432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6" w:tplc="D60293DC">
      <w:start w:val="1"/>
      <w:numFmt w:val="bullet"/>
      <w:lvlText w:val="•"/>
      <w:lvlJc w:val="left"/>
      <w:pPr>
        <w:ind w:left="504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7" w:tplc="CF3497C8">
      <w:start w:val="1"/>
      <w:numFmt w:val="bullet"/>
      <w:lvlText w:val="•"/>
      <w:lvlJc w:val="left"/>
      <w:pPr>
        <w:ind w:left="576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8" w:tplc="4D563ECC">
      <w:start w:val="1"/>
      <w:numFmt w:val="bullet"/>
      <w:lvlText w:val="•"/>
      <w:lvlJc w:val="left"/>
      <w:pPr>
        <w:ind w:left="6480" w:hanging="360"/>
      </w:pPr>
      <w:rPr>
        <w:rFonts w:ascii="Inter" w:eastAsia="Inter" w:hAnsi="Inter" w:cs="Inter"/>
        <w:b w:val="0"/>
        <w:bCs w:val="0"/>
        <w:sz w:val="20"/>
        <w:szCs w:val="20"/>
      </w:rPr>
    </w:lvl>
  </w:abstractNum>
  <w:abstractNum w:abstractNumId="1" w15:restartNumberingAfterBreak="0">
    <w:nsid w:val="1B861283"/>
    <w:multiLevelType w:val="hybridMultilevel"/>
    <w:tmpl w:val="ACFE1F22"/>
    <w:lvl w:ilvl="0" w:tplc="E4C628CE">
      <w:start w:val="1"/>
      <w:numFmt w:val="decimal"/>
      <w:lvlText w:val="%1."/>
      <w:lvlJc w:val="left"/>
      <w:pPr>
        <w:ind w:left="720"/>
      </w:pPr>
    </w:lvl>
    <w:lvl w:ilvl="1" w:tplc="BCD60AA0">
      <w:numFmt w:val="decimal"/>
      <w:lvlText w:val=""/>
      <w:lvlJc w:val="left"/>
    </w:lvl>
    <w:lvl w:ilvl="2" w:tplc="F4E45F16">
      <w:numFmt w:val="decimal"/>
      <w:lvlText w:val=""/>
      <w:lvlJc w:val="left"/>
    </w:lvl>
    <w:lvl w:ilvl="3" w:tplc="45CE3CA8">
      <w:numFmt w:val="decimal"/>
      <w:lvlText w:val=""/>
      <w:lvlJc w:val="left"/>
    </w:lvl>
    <w:lvl w:ilvl="4" w:tplc="76AC0F12">
      <w:numFmt w:val="decimal"/>
      <w:lvlText w:val=""/>
      <w:lvlJc w:val="left"/>
    </w:lvl>
    <w:lvl w:ilvl="5" w:tplc="81761A3A">
      <w:numFmt w:val="decimal"/>
      <w:lvlText w:val=""/>
      <w:lvlJc w:val="left"/>
    </w:lvl>
    <w:lvl w:ilvl="6" w:tplc="992814C4">
      <w:numFmt w:val="decimal"/>
      <w:lvlText w:val=""/>
      <w:lvlJc w:val="left"/>
    </w:lvl>
    <w:lvl w:ilvl="7" w:tplc="014658C6">
      <w:numFmt w:val="decimal"/>
      <w:lvlText w:val=""/>
      <w:lvlJc w:val="left"/>
    </w:lvl>
    <w:lvl w:ilvl="8" w:tplc="2A402E64">
      <w:numFmt w:val="decimal"/>
      <w:lvlText w:val=""/>
      <w:lvlJc w:val="left"/>
    </w:lvl>
  </w:abstractNum>
  <w:abstractNum w:abstractNumId="2" w15:restartNumberingAfterBreak="0">
    <w:nsid w:val="21AC73C3"/>
    <w:multiLevelType w:val="hybridMultilevel"/>
    <w:tmpl w:val="BBF07EF8"/>
    <w:lvl w:ilvl="0" w:tplc="711845C4">
      <w:start w:val="1"/>
      <w:numFmt w:val="decimal"/>
      <w:lvlText w:val="%1."/>
      <w:lvlJc w:val="left"/>
      <w:pPr>
        <w:ind w:left="720"/>
      </w:pPr>
    </w:lvl>
    <w:lvl w:ilvl="1" w:tplc="053C2BA0">
      <w:numFmt w:val="decimal"/>
      <w:lvlText w:val=""/>
      <w:lvlJc w:val="left"/>
    </w:lvl>
    <w:lvl w:ilvl="2" w:tplc="1F9643DC">
      <w:numFmt w:val="decimal"/>
      <w:lvlText w:val=""/>
      <w:lvlJc w:val="left"/>
    </w:lvl>
    <w:lvl w:ilvl="3" w:tplc="CCB02518">
      <w:numFmt w:val="decimal"/>
      <w:lvlText w:val=""/>
      <w:lvlJc w:val="left"/>
    </w:lvl>
    <w:lvl w:ilvl="4" w:tplc="8A323C6C">
      <w:numFmt w:val="decimal"/>
      <w:lvlText w:val=""/>
      <w:lvlJc w:val="left"/>
    </w:lvl>
    <w:lvl w:ilvl="5" w:tplc="84E61436">
      <w:numFmt w:val="decimal"/>
      <w:lvlText w:val=""/>
      <w:lvlJc w:val="left"/>
    </w:lvl>
    <w:lvl w:ilvl="6" w:tplc="CE508452">
      <w:numFmt w:val="decimal"/>
      <w:lvlText w:val=""/>
      <w:lvlJc w:val="left"/>
    </w:lvl>
    <w:lvl w:ilvl="7" w:tplc="AF2A6600">
      <w:numFmt w:val="decimal"/>
      <w:lvlText w:val=""/>
      <w:lvlJc w:val="left"/>
    </w:lvl>
    <w:lvl w:ilvl="8" w:tplc="9C4EE704">
      <w:numFmt w:val="decimal"/>
      <w:lvlText w:val=""/>
      <w:lvlJc w:val="left"/>
    </w:lvl>
  </w:abstractNum>
  <w:abstractNum w:abstractNumId="3" w15:restartNumberingAfterBreak="0">
    <w:nsid w:val="265260FE"/>
    <w:multiLevelType w:val="hybridMultilevel"/>
    <w:tmpl w:val="5FD84430"/>
    <w:lvl w:ilvl="0" w:tplc="4C2ED260">
      <w:start w:val="1"/>
      <w:numFmt w:val="decimal"/>
      <w:lvlText w:val="%1."/>
      <w:lvlJc w:val="left"/>
      <w:pPr>
        <w:ind w:left="720"/>
      </w:pPr>
    </w:lvl>
    <w:lvl w:ilvl="1" w:tplc="5B7C40FA">
      <w:numFmt w:val="decimal"/>
      <w:lvlText w:val=""/>
      <w:lvlJc w:val="left"/>
    </w:lvl>
    <w:lvl w:ilvl="2" w:tplc="48BEFD3E">
      <w:numFmt w:val="decimal"/>
      <w:lvlText w:val=""/>
      <w:lvlJc w:val="left"/>
    </w:lvl>
    <w:lvl w:ilvl="3" w:tplc="CA140F30">
      <w:numFmt w:val="decimal"/>
      <w:lvlText w:val=""/>
      <w:lvlJc w:val="left"/>
    </w:lvl>
    <w:lvl w:ilvl="4" w:tplc="0CBAB63A">
      <w:numFmt w:val="decimal"/>
      <w:lvlText w:val=""/>
      <w:lvlJc w:val="left"/>
    </w:lvl>
    <w:lvl w:ilvl="5" w:tplc="4A58A3F6">
      <w:numFmt w:val="decimal"/>
      <w:lvlText w:val=""/>
      <w:lvlJc w:val="left"/>
    </w:lvl>
    <w:lvl w:ilvl="6" w:tplc="93F82B1E">
      <w:numFmt w:val="decimal"/>
      <w:lvlText w:val=""/>
      <w:lvlJc w:val="left"/>
    </w:lvl>
    <w:lvl w:ilvl="7" w:tplc="6D04A774">
      <w:numFmt w:val="decimal"/>
      <w:lvlText w:val=""/>
      <w:lvlJc w:val="left"/>
    </w:lvl>
    <w:lvl w:ilvl="8" w:tplc="B164D764">
      <w:numFmt w:val="decimal"/>
      <w:lvlText w:val=""/>
      <w:lvlJc w:val="left"/>
    </w:lvl>
  </w:abstractNum>
  <w:abstractNum w:abstractNumId="4" w15:restartNumberingAfterBreak="0">
    <w:nsid w:val="52C04F38"/>
    <w:multiLevelType w:val="hybridMultilevel"/>
    <w:tmpl w:val="B92A170E"/>
    <w:lvl w:ilvl="0" w:tplc="C236221E">
      <w:start w:val="1"/>
      <w:numFmt w:val="decimal"/>
      <w:lvlText w:val="%1."/>
      <w:lvlJc w:val="left"/>
      <w:pPr>
        <w:ind w:left="720"/>
      </w:pPr>
    </w:lvl>
    <w:lvl w:ilvl="1" w:tplc="36CA512C">
      <w:numFmt w:val="decimal"/>
      <w:lvlText w:val=""/>
      <w:lvlJc w:val="left"/>
    </w:lvl>
    <w:lvl w:ilvl="2" w:tplc="871A8710">
      <w:numFmt w:val="decimal"/>
      <w:lvlText w:val=""/>
      <w:lvlJc w:val="left"/>
    </w:lvl>
    <w:lvl w:ilvl="3" w:tplc="10F4AC52">
      <w:numFmt w:val="decimal"/>
      <w:lvlText w:val=""/>
      <w:lvlJc w:val="left"/>
    </w:lvl>
    <w:lvl w:ilvl="4" w:tplc="3AA41562">
      <w:numFmt w:val="decimal"/>
      <w:lvlText w:val=""/>
      <w:lvlJc w:val="left"/>
    </w:lvl>
    <w:lvl w:ilvl="5" w:tplc="ACB4FC8A">
      <w:numFmt w:val="decimal"/>
      <w:lvlText w:val=""/>
      <w:lvlJc w:val="left"/>
    </w:lvl>
    <w:lvl w:ilvl="6" w:tplc="F09AED18">
      <w:numFmt w:val="decimal"/>
      <w:lvlText w:val=""/>
      <w:lvlJc w:val="left"/>
    </w:lvl>
    <w:lvl w:ilvl="7" w:tplc="39F602A4">
      <w:numFmt w:val="decimal"/>
      <w:lvlText w:val=""/>
      <w:lvlJc w:val="left"/>
    </w:lvl>
    <w:lvl w:ilvl="8" w:tplc="B896080E">
      <w:numFmt w:val="decimal"/>
      <w:lvlText w:val=""/>
      <w:lvlJc w:val="left"/>
    </w:lvl>
  </w:abstractNum>
  <w:abstractNum w:abstractNumId="5" w15:restartNumberingAfterBreak="0">
    <w:nsid w:val="557669AE"/>
    <w:multiLevelType w:val="hybridMultilevel"/>
    <w:tmpl w:val="00E821BA"/>
    <w:lvl w:ilvl="0" w:tplc="510A3D64">
      <w:start w:val="1"/>
      <w:numFmt w:val="decimal"/>
      <w:lvlText w:val="%1."/>
      <w:lvlJc w:val="left"/>
      <w:pPr>
        <w:ind w:left="720"/>
      </w:pPr>
    </w:lvl>
    <w:lvl w:ilvl="1" w:tplc="7366A920">
      <w:numFmt w:val="decimal"/>
      <w:lvlText w:val=""/>
      <w:lvlJc w:val="left"/>
    </w:lvl>
    <w:lvl w:ilvl="2" w:tplc="9DFC512E">
      <w:numFmt w:val="decimal"/>
      <w:lvlText w:val=""/>
      <w:lvlJc w:val="left"/>
    </w:lvl>
    <w:lvl w:ilvl="3" w:tplc="E8300EA8">
      <w:numFmt w:val="decimal"/>
      <w:lvlText w:val=""/>
      <w:lvlJc w:val="left"/>
    </w:lvl>
    <w:lvl w:ilvl="4" w:tplc="B05A1FB0">
      <w:numFmt w:val="decimal"/>
      <w:lvlText w:val=""/>
      <w:lvlJc w:val="left"/>
    </w:lvl>
    <w:lvl w:ilvl="5" w:tplc="E9CAAE64">
      <w:numFmt w:val="decimal"/>
      <w:lvlText w:val=""/>
      <w:lvlJc w:val="left"/>
    </w:lvl>
    <w:lvl w:ilvl="6" w:tplc="D2CC7B02">
      <w:numFmt w:val="decimal"/>
      <w:lvlText w:val=""/>
      <w:lvlJc w:val="left"/>
    </w:lvl>
    <w:lvl w:ilvl="7" w:tplc="849CE108">
      <w:numFmt w:val="decimal"/>
      <w:lvlText w:val=""/>
      <w:lvlJc w:val="left"/>
    </w:lvl>
    <w:lvl w:ilvl="8" w:tplc="74B826B4">
      <w:numFmt w:val="decimal"/>
      <w:lvlText w:val=""/>
      <w:lvlJc w:val="left"/>
    </w:lvl>
  </w:abstractNum>
  <w:abstractNum w:abstractNumId="6" w15:restartNumberingAfterBreak="0">
    <w:nsid w:val="5E6F1230"/>
    <w:multiLevelType w:val="hybridMultilevel"/>
    <w:tmpl w:val="DC3EC0C0"/>
    <w:lvl w:ilvl="0" w:tplc="2AFE9942">
      <w:start w:val="1"/>
      <w:numFmt w:val="decimal"/>
      <w:lvlText w:val="%1."/>
      <w:lvlJc w:val="left"/>
      <w:pPr>
        <w:ind w:left="720"/>
      </w:pPr>
    </w:lvl>
    <w:lvl w:ilvl="1" w:tplc="F9C47824">
      <w:numFmt w:val="decimal"/>
      <w:lvlText w:val=""/>
      <w:lvlJc w:val="left"/>
    </w:lvl>
    <w:lvl w:ilvl="2" w:tplc="899EF724">
      <w:numFmt w:val="decimal"/>
      <w:lvlText w:val=""/>
      <w:lvlJc w:val="left"/>
    </w:lvl>
    <w:lvl w:ilvl="3" w:tplc="D72C6CD2">
      <w:numFmt w:val="decimal"/>
      <w:lvlText w:val=""/>
      <w:lvlJc w:val="left"/>
    </w:lvl>
    <w:lvl w:ilvl="4" w:tplc="233C3F64">
      <w:numFmt w:val="decimal"/>
      <w:lvlText w:val=""/>
      <w:lvlJc w:val="left"/>
    </w:lvl>
    <w:lvl w:ilvl="5" w:tplc="31D411BC">
      <w:numFmt w:val="decimal"/>
      <w:lvlText w:val=""/>
      <w:lvlJc w:val="left"/>
    </w:lvl>
    <w:lvl w:ilvl="6" w:tplc="C6265880">
      <w:numFmt w:val="decimal"/>
      <w:lvlText w:val=""/>
      <w:lvlJc w:val="left"/>
    </w:lvl>
    <w:lvl w:ilvl="7" w:tplc="7B46C708">
      <w:numFmt w:val="decimal"/>
      <w:lvlText w:val=""/>
      <w:lvlJc w:val="left"/>
    </w:lvl>
    <w:lvl w:ilvl="8" w:tplc="1B24B422">
      <w:numFmt w:val="decimal"/>
      <w:lvlText w:val=""/>
      <w:lvlJc w:val="left"/>
    </w:lvl>
  </w:abstractNum>
  <w:abstractNum w:abstractNumId="7" w15:restartNumberingAfterBreak="0">
    <w:nsid w:val="77374773"/>
    <w:multiLevelType w:val="hybridMultilevel"/>
    <w:tmpl w:val="7070DB3C"/>
    <w:lvl w:ilvl="0" w:tplc="0C624D02">
      <w:start w:val="1"/>
      <w:numFmt w:val="decimal"/>
      <w:lvlText w:val="%1."/>
      <w:lvlJc w:val="left"/>
      <w:pPr>
        <w:ind w:left="720"/>
      </w:pPr>
    </w:lvl>
    <w:lvl w:ilvl="1" w:tplc="D3CE11BE">
      <w:numFmt w:val="decimal"/>
      <w:lvlText w:val=""/>
      <w:lvlJc w:val="left"/>
    </w:lvl>
    <w:lvl w:ilvl="2" w:tplc="1F3456F6">
      <w:numFmt w:val="decimal"/>
      <w:lvlText w:val=""/>
      <w:lvlJc w:val="left"/>
    </w:lvl>
    <w:lvl w:ilvl="3" w:tplc="AADC5A4C">
      <w:numFmt w:val="decimal"/>
      <w:lvlText w:val=""/>
      <w:lvlJc w:val="left"/>
    </w:lvl>
    <w:lvl w:ilvl="4" w:tplc="72BC2DE0">
      <w:numFmt w:val="decimal"/>
      <w:lvlText w:val=""/>
      <w:lvlJc w:val="left"/>
    </w:lvl>
    <w:lvl w:ilvl="5" w:tplc="693C9118">
      <w:numFmt w:val="decimal"/>
      <w:lvlText w:val=""/>
      <w:lvlJc w:val="left"/>
    </w:lvl>
    <w:lvl w:ilvl="6" w:tplc="B79A0CAE">
      <w:numFmt w:val="decimal"/>
      <w:lvlText w:val=""/>
      <w:lvlJc w:val="left"/>
    </w:lvl>
    <w:lvl w:ilvl="7" w:tplc="A9EEADBA">
      <w:numFmt w:val="decimal"/>
      <w:lvlText w:val=""/>
      <w:lvlJc w:val="left"/>
    </w:lvl>
    <w:lvl w:ilvl="8" w:tplc="54CEDBA8">
      <w:numFmt w:val="decimal"/>
      <w:lvlText w:val=""/>
      <w:lvlJc w:val="left"/>
    </w:lvl>
  </w:abstractNum>
  <w:num w:numId="1" w16cid:durableId="3554293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1C"/>
    <w:rsid w:val="00192FE9"/>
    <w:rsid w:val="0021101C"/>
    <w:rsid w:val="0051289F"/>
    <w:rsid w:val="005E1471"/>
    <w:rsid w:val="006A55A5"/>
    <w:rsid w:val="007226BB"/>
    <w:rsid w:val="007A2E3D"/>
    <w:rsid w:val="007F74EE"/>
    <w:rsid w:val="00814DC9"/>
    <w:rsid w:val="00B021C9"/>
    <w:rsid w:val="00B6718C"/>
    <w:rsid w:val="00CD6A9C"/>
    <w:rsid w:val="00E3001C"/>
    <w:rsid w:val="00E9680A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2596D"/>
  <w15:docId w15:val="{AC64D8FF-DA9C-B441-ABA7-92A0F387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333333"/>
        <w:spacing w:val="-2"/>
        <w:sz w:val="20"/>
        <w:szCs w:val="2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70" w:after="90" w:line="240" w:lineRule="auto"/>
      <w:outlineLvl w:val="0"/>
    </w:pPr>
    <w:rPr>
      <w:rFonts w:ascii="Tahoma" w:eastAsia="Tahoma" w:hAnsi="Tahoma" w:cs="Tahoma"/>
      <w:b/>
      <w:bCs/>
      <w:color w:val="1a1a1a"/>
      <w:spacing w:val="-10"/>
      <w:sz w:val="51"/>
      <w:szCs w:val="5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10" w:after="90" w:line="240" w:lineRule="auto"/>
      <w:outlineLvl w:val="1"/>
    </w:pPr>
    <w:rPr>
      <w:rFonts w:ascii="Tahoma" w:eastAsia="Tahoma" w:hAnsi="Tahoma" w:cs="Tahoma"/>
      <w:b/>
      <w:bCs/>
      <w:color w:val="1a1a1a"/>
      <w:spacing w:val="-8"/>
      <w:sz w:val="39"/>
      <w:szCs w:val="39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180" w:after="90" w:line="240" w:lineRule="auto"/>
      <w:outlineLvl w:val="2"/>
    </w:pPr>
    <w:rPr>
      <w:rFonts w:ascii="Tahoma" w:eastAsia="Tahoma" w:hAnsi="Tahoma" w:cs="Tahoma"/>
      <w:b/>
      <w:bCs/>
      <w:color w:val="1a1a1a"/>
      <w:spacing w:val="-6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spacing w:before="150" w:after="90" w:line="240" w:lineRule="auto"/>
      <w:outlineLvl w:val="3"/>
    </w:pPr>
    <w:rPr>
      <w:rFonts w:ascii="Tahoma" w:eastAsia="Tahoma" w:hAnsi="Tahoma" w:cs="Tahoma"/>
      <w:b/>
      <w:bCs/>
      <w:color w:val="1a1a1a"/>
      <w:spacing w:val="-5"/>
      <w:sz w:val="25"/>
      <w:szCs w:val="25"/>
    </w:rPr>
  </w:style>
  <w:style w:type="paragraph" w:styleId="Heading5">
    <w:name w:val="heading 5"/>
    <w:basedOn w:val="Normal"/>
    <w:next w:val="Normal"/>
    <w:uiPriority w:val="9"/>
    <w:qFormat/>
    <w:pPr>
      <w:keepNext/>
      <w:spacing w:before="120" w:after="90" w:line="240" w:lineRule="auto"/>
      <w:outlineLvl w:val="4"/>
    </w:pPr>
    <w:rPr>
      <w:rFonts w:ascii="Tahoma" w:eastAsia="Tahoma" w:hAnsi="Tahoma" w:cs="Tahoma"/>
      <w:b/>
      <w:bCs/>
      <w:color w:val="1a1a1a"/>
      <w:spacing w:val="-5"/>
      <w:sz w:val="23"/>
      <w:szCs w:val="23"/>
    </w:rPr>
  </w:style>
  <w:style w:type="paragraph" w:styleId="Heading6">
    <w:name w:val="heading 6"/>
    <w:basedOn w:val="Normal"/>
    <w:next w:val="Normal"/>
    <w:uiPriority w:val="9"/>
    <w:qFormat/>
    <w:pPr>
      <w:keepNext/>
      <w:spacing w:before="120" w:after="90" w:line="240" w:lineRule="auto"/>
      <w:outlineLvl w:val="5"/>
    </w:pPr>
    <w:rPr>
      <w:rFonts w:ascii="Tahoma" w:eastAsia="Tahoma" w:hAnsi="Tahoma" w:cs="Tahoma"/>
      <w:b/>
      <w:bCs/>
      <w:color w:val="1a1a1a"/>
      <w:spacing w:val="-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A9C"/>
  </w:style>
  <w:style w:type="paragraph" w:styleId="Footer">
    <w:name w:val="footer"/>
    <w:basedOn w:val="Normal"/>
    <w:link w:val="FooterChar"/>
    <w:uiPriority w:val="99"/>
    <w:unhideWhenUsed/>
    <w:rsid w:val="00CD6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f8872820b6be29676413b09acc9c1253d34a76c4.jpeg"/><Relationship Id="rIdepty-wdpj3zhgjs66yhm8" Type="http://schemas.openxmlformats.org/officeDocument/2006/relationships/hyperlink" Target="/share/MLM96wtRLpVZ" TargetMode="External"/><Relationship Id="rIdrpg_kjfb7vtnfht6dlnya" Type="http://schemas.openxmlformats.org/officeDocument/2006/relationships/hyperlink" Target="/share/y3Zfxg6nNLdr" TargetMode="External"/><Relationship Id="rIdft11njp_ophcax3dngac4" Type="http://schemas.openxmlformats.org/officeDocument/2006/relationships/hyperlink" Target="/workspaces/aV3d1S9ksCHSkOqdyTNG/document/UbaBz9Pab5lcMcWALfkh" TargetMode="External"/><Relationship Id="rIdhw1fhg3uovy65whtz7bly" Type="http://schemas.openxmlformats.org/officeDocument/2006/relationships/hyperlink" Target="/share/HWETaVVuv7H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Kal Kilpi</cp:lastModifiedBy>
  <cp:revision>6</cp:revision>
  <dcterms:created xsi:type="dcterms:W3CDTF">2025-08-17T20:13:00Z</dcterms:created>
  <dcterms:modified xsi:type="dcterms:W3CDTF">2026-03-05T02:52:00Z</dcterms:modified>
</cp:coreProperties>
</file>