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spacing w:before="200" w:after="200"/>
              <w:jc w:val="left"/>
            </w:pPr>
            <w:r>
              <w:drawing>
                <wp:inline distT="0" distB="0" distL="0" distR="0">
                  <wp:extent cx="121920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19200" cy="1219200"/>
                          </a:xfrm>
                          <a:prstGeom prst="rect">
                            <a:avLst/>
                          </a:prstGeom>
                        </pic:spPr>
                      </pic:pic>
                    </a:graphicData>
                  </a:graphic>
                </wp:inline>
              </w:drawing>
            </w:r>
          </w:p>
          <w:p>
            <w:pPr>
              <w:pStyle w:val="Title"/>
              <w:keepNext/>
              <w:keepLines/>
              <w:spacing w:after="400"/>
              <w:jc w:val="left"/>
              <w:rPr>
                <w:color w:val="ffffff"/>
              </w:rPr>
            </w:pPr>
            <w:r>
              <w:rPr>
                <w:rFonts w:ascii="Tahoma" w:cs="Tahoma" w:eastAsia="Tahoma" w:hAnsi="Tahoma"/>
                <w:b/>
                <w:bCs/>
                <w:color w:val="ffffff"/>
                <w:spacing w:val="-18"/>
                <w:sz w:val="59"/>
                <w:szCs w:val="59"/>
              </w:rPr>
              <w:t xml:space="preserve">DroneUp Post-Merger Integration Plan</w:t>
            </w:r>
          </w:p>
          <w:p>
            <w:pPr>
              <w:keepNext/>
              <w:keepLines/>
              <w:spacing w:after="200"/>
              <w:jc w:val="left"/>
              <w:rPr>
                <w:color w:val="ffffff"/>
              </w:rPr>
            </w:pPr>
            <w:r>
              <w:rPr>
                <w:rFonts w:ascii="Tahoma" w:cs="Tahoma" w:eastAsia="Tahoma" w:hAnsi="Tahoma"/>
                <w:b/>
                <w:bCs/>
                <w:color w:val="ffffff"/>
                <w:sz w:val="34"/>
                <w:szCs w:val="34"/>
              </w:rPr>
              <w:t xml:space="preserve">The First 100 Days — Protecting the Certificate, the Talent, and the Path to Scale</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Walmart Corporate Development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August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Bdr>
          <w:bottom w:val="single" w:color="d1d5db" w:sz="6" w:space="8"/>
        </w:pBdr>
        <w:spacing w:before="360" w:after="300"/>
      </w:pPr>
      <w:r>
        <w:rPr>
          <w:b/>
          <w:bCs/>
          <w:color w:val="0a0a0a"/>
          <w:sz w:val="32"/>
          <w:szCs w:val="32"/>
        </w:rPr>
        <w:t xml:space="preserve">Table of Contents</w:t>
      </w:r>
    </w:p>
    <w:p>
      <w:pPr>
        <w:keepLines/>
        <w:tabs>
          <w:tab w:val="right" w:pos="9026" w:leader="dot"/>
        </w:tabs>
        <w:spacing w:before="60" w:after="20" w:line="220"/>
        <w:ind w:left="0"/>
      </w:pPr>
      <w:hyperlink w:history="1" w:anchor="section_64f7e1e5">
        <w:r>
          <w:rPr>
            <w:b/>
            <w:bCs/>
            <w:color w:val="0a0a0a"/>
            <w:sz w:val="20"/>
            <w:szCs w:val="20"/>
          </w:rPr>
          <w:t xml:space="preserve">DroneUp Post-Merger Integration Plan — The First 100 Days</w:t>
        </w:r>
      </w:hyperlink>
      <w:r>
        <w:rPr>
          <w:color w:val="737373"/>
          <w:sz w:val="20"/>
          <w:szCs w:val="20"/>
        </w:rPr>
        <w:t xml:space="preserve">	3</w:t>
      </w:r>
    </w:p>
    <w:p>
      <w:pPr>
        <w:keepLines/>
        <w:tabs>
          <w:tab w:val="right" w:pos="9026" w:leader="dot"/>
        </w:tabs>
        <w:spacing w:before="0" w:after="20" w:line="220"/>
        <w:ind w:left="240"/>
      </w:pPr>
      <w:hyperlink w:history="1" w:anchor="section_a2bf2c26">
        <w:r>
          <w:rPr>
            <w:b/>
            <w:bCs/>
            <w:color w:val="0a0a0a"/>
            <w:sz w:val="20"/>
            <w:szCs w:val="20"/>
          </w:rPr>
          <w:t xml:space="preserve">1. Integration Thesis &amp; Guiding Principles</w:t>
        </w:r>
      </w:hyperlink>
      <w:r>
        <w:rPr>
          <w:color w:val="737373"/>
          <w:sz w:val="20"/>
          <w:szCs w:val="20"/>
        </w:rPr>
        <w:t xml:space="preserve">	3</w:t>
      </w:r>
    </w:p>
    <w:p>
      <w:pPr>
        <w:keepLines/>
        <w:tabs>
          <w:tab w:val="right" w:pos="9026" w:leader="dot"/>
        </w:tabs>
        <w:spacing w:before="0" w:after="20" w:line="220"/>
        <w:ind w:left="240"/>
      </w:pPr>
      <w:hyperlink w:history="1" w:anchor="section_775c49ea">
        <w:r>
          <w:rPr>
            <w:b/>
            <w:bCs/>
            <w:color w:val="0a0a0a"/>
            <w:sz w:val="20"/>
            <w:szCs w:val="20"/>
          </w:rPr>
          <w:t xml:space="preserve">2. Governance &amp; Integration Management Office</w:t>
        </w:r>
      </w:hyperlink>
      <w:r>
        <w:rPr>
          <w:color w:val="737373"/>
          <w:sz w:val="20"/>
          <w:szCs w:val="20"/>
        </w:rPr>
        <w:t xml:space="preserve">	4</w:t>
      </w:r>
    </w:p>
    <w:p>
      <w:pPr>
        <w:keepLines/>
        <w:tabs>
          <w:tab w:val="right" w:pos="9026" w:leader="dot"/>
        </w:tabs>
        <w:spacing w:before="0" w:after="20" w:line="220"/>
        <w:ind w:left="240"/>
      </w:pPr>
      <w:hyperlink w:history="1" w:anchor="section_b91372c5">
        <w:r>
          <w:rPr>
            <w:b/>
            <w:bCs/>
            <w:color w:val="0a0a0a"/>
            <w:sz w:val="20"/>
            <w:szCs w:val="20"/>
          </w:rPr>
          <w:t xml:space="preserve">3. Integration Workstreams — Day 1 / Day 30 / Day 100</w:t>
        </w:r>
      </w:hyperlink>
      <w:r>
        <w:rPr>
          <w:color w:val="737373"/>
          <w:sz w:val="20"/>
          <w:szCs w:val="20"/>
        </w:rPr>
        <w:t xml:space="preserve">	4</w:t>
      </w:r>
    </w:p>
    <w:p>
      <w:pPr>
        <w:keepLines/>
        <w:tabs>
          <w:tab w:val="right" w:pos="9026" w:leader="dot"/>
        </w:tabs>
        <w:spacing w:before="0" w:after="20" w:line="220"/>
        <w:ind w:left="240"/>
      </w:pPr>
      <w:hyperlink w:history="1" w:anchor="section_4d1a16a4">
        <w:r>
          <w:rPr>
            <w:b/>
            <w:bCs/>
            <w:color w:val="0a0a0a"/>
            <w:sz w:val="20"/>
            <w:szCs w:val="20"/>
          </w:rPr>
          <w:t xml:space="preserve">4. Workstream Charters</w:t>
        </w:r>
      </w:hyperlink>
      <w:r>
        <w:rPr>
          <w:color w:val="737373"/>
          <w:sz w:val="20"/>
          <w:szCs w:val="20"/>
        </w:rPr>
        <w:t xml:space="preserve">	4</w:t>
      </w:r>
    </w:p>
    <w:p>
      <w:pPr>
        <w:keepLines/>
        <w:tabs>
          <w:tab w:val="right" w:pos="9026" w:leader="dot"/>
        </w:tabs>
        <w:spacing w:before="0" w:after="20" w:line="220"/>
        <w:ind w:left="480"/>
      </w:pPr>
      <w:hyperlink w:history="1" w:anchor="section_62a25f12">
        <w:r>
          <w:rPr>
            <w:b w:val="false"/>
            <w:bCs w:val="false"/>
            <w:color w:val="0a0a0a"/>
            <w:sz w:val="20"/>
            <w:szCs w:val="20"/>
          </w:rPr>
          <w:t xml:space="preserve">4.1 Flight Operations</w:t>
        </w:r>
      </w:hyperlink>
      <w:r>
        <w:rPr>
          <w:color w:val="737373"/>
          <w:sz w:val="20"/>
          <w:szCs w:val="20"/>
        </w:rPr>
        <w:t xml:space="preserve">	5</w:t>
      </w:r>
    </w:p>
    <w:p>
      <w:pPr>
        <w:keepLines/>
        <w:tabs>
          <w:tab w:val="right" w:pos="9026" w:leader="dot"/>
        </w:tabs>
        <w:spacing w:before="0" w:after="20" w:line="220"/>
        <w:ind w:left="480"/>
      </w:pPr>
      <w:hyperlink w:history="1" w:anchor="section_8aa403a5">
        <w:r>
          <w:rPr>
            <w:b w:val="false"/>
            <w:bCs w:val="false"/>
            <w:color w:val="0a0a0a"/>
            <w:sz w:val="20"/>
            <w:szCs w:val="20"/>
          </w:rPr>
          <w:t xml:space="preserve">4.2 Technology &amp; UTM</w:t>
        </w:r>
      </w:hyperlink>
      <w:r>
        <w:rPr>
          <w:color w:val="737373"/>
          <w:sz w:val="20"/>
          <w:szCs w:val="20"/>
        </w:rPr>
        <w:t xml:space="preserve">	5</w:t>
      </w:r>
    </w:p>
    <w:p>
      <w:pPr>
        <w:keepLines/>
        <w:tabs>
          <w:tab w:val="right" w:pos="9026" w:leader="dot"/>
        </w:tabs>
        <w:spacing w:before="0" w:after="20" w:line="220"/>
        <w:ind w:left="480"/>
      </w:pPr>
      <w:hyperlink w:history="1" w:anchor="section_1da6af13">
        <w:r>
          <w:rPr>
            <w:b w:val="false"/>
            <w:bCs w:val="false"/>
            <w:color w:val="0a0a0a"/>
            <w:sz w:val="20"/>
            <w:szCs w:val="20"/>
          </w:rPr>
          <w:t xml:space="preserve">4.3 People &amp; Culture</w:t>
        </w:r>
      </w:hyperlink>
      <w:r>
        <w:rPr>
          <w:color w:val="737373"/>
          <w:sz w:val="20"/>
          <w:szCs w:val="20"/>
        </w:rPr>
        <w:t xml:space="preserve">	5</w:t>
      </w:r>
    </w:p>
    <w:p>
      <w:pPr>
        <w:keepLines/>
        <w:tabs>
          <w:tab w:val="right" w:pos="9026" w:leader="dot"/>
        </w:tabs>
        <w:spacing w:before="0" w:after="20" w:line="220"/>
        <w:ind w:left="480"/>
      </w:pPr>
      <w:hyperlink w:history="1" w:anchor="section_33aa3d72">
        <w:r>
          <w:rPr>
            <w:b w:val="false"/>
            <w:bCs w:val="false"/>
            <w:color w:val="0a0a0a"/>
            <w:sz w:val="20"/>
            <w:szCs w:val="20"/>
          </w:rPr>
          <w:t xml:space="preserve">4.4 Commercial &amp; Stores Rollout</w:t>
        </w:r>
      </w:hyperlink>
      <w:r>
        <w:rPr>
          <w:color w:val="737373"/>
          <w:sz w:val="20"/>
          <w:szCs w:val="20"/>
        </w:rPr>
        <w:t xml:space="preserve">	5</w:t>
      </w:r>
    </w:p>
    <w:p>
      <w:pPr>
        <w:keepLines/>
        <w:tabs>
          <w:tab w:val="right" w:pos="9026" w:leader="dot"/>
        </w:tabs>
        <w:spacing w:before="0" w:after="20" w:line="220"/>
        <w:ind w:left="480"/>
      </w:pPr>
      <w:hyperlink w:history="1" w:anchor="section_f12e8f5c">
        <w:r>
          <w:rPr>
            <w:b w:val="false"/>
            <w:bCs w:val="false"/>
            <w:color w:val="0a0a0a"/>
            <w:sz w:val="20"/>
            <w:szCs w:val="20"/>
          </w:rPr>
          <w:t xml:space="preserve">4.5 Regulatory &amp; Safety</w:t>
        </w:r>
      </w:hyperlink>
      <w:r>
        <w:rPr>
          <w:color w:val="737373"/>
          <w:sz w:val="20"/>
          <w:szCs w:val="20"/>
        </w:rPr>
        <w:t xml:space="preserve">	6</w:t>
      </w:r>
    </w:p>
    <w:p>
      <w:pPr>
        <w:keepLines/>
        <w:tabs>
          <w:tab w:val="right" w:pos="9026" w:leader="dot"/>
        </w:tabs>
        <w:spacing w:before="0" w:after="20" w:line="220"/>
        <w:ind w:left="480"/>
      </w:pPr>
      <w:hyperlink w:history="1" w:anchor="section_5c07cdde">
        <w:r>
          <w:rPr>
            <w:b w:val="false"/>
            <w:bCs w:val="false"/>
            <w:color w:val="0a0a0a"/>
            <w:sz w:val="20"/>
            <w:szCs w:val="20"/>
          </w:rPr>
          <w:t xml:space="preserve">4.6 Finance &amp; Synergies</w:t>
        </w:r>
      </w:hyperlink>
      <w:r>
        <w:rPr>
          <w:color w:val="737373"/>
          <w:sz w:val="20"/>
          <w:szCs w:val="20"/>
        </w:rPr>
        <w:t xml:space="preserve">	6</w:t>
      </w:r>
    </w:p>
    <w:p>
      <w:pPr>
        <w:keepLines/>
        <w:tabs>
          <w:tab w:val="right" w:pos="9026" w:leader="dot"/>
        </w:tabs>
        <w:spacing w:before="0" w:after="20" w:line="220"/>
        <w:ind w:left="480"/>
      </w:pPr>
      <w:hyperlink w:history="1" w:anchor="section_d1cc4618">
        <w:r>
          <w:rPr>
            <w:b w:val="false"/>
            <w:bCs w:val="false"/>
            <w:color w:val="0a0a0a"/>
            <w:sz w:val="20"/>
            <w:szCs w:val="20"/>
          </w:rPr>
          <w:t xml:space="preserve">4.7 Hub-in-Supercenter Operating Model</w:t>
        </w:r>
      </w:hyperlink>
      <w:r>
        <w:rPr>
          <w:color w:val="737373"/>
          <w:sz w:val="20"/>
          <w:szCs w:val="20"/>
        </w:rPr>
        <w:t xml:space="preserve">	6</w:t>
      </w:r>
    </w:p>
    <w:p>
      <w:pPr>
        <w:keepLines/>
        <w:tabs>
          <w:tab w:val="right" w:pos="9026" w:leader="dot"/>
        </w:tabs>
        <w:spacing w:before="0" w:after="20" w:line="220"/>
        <w:ind w:left="240"/>
      </w:pPr>
      <w:hyperlink w:history="1" w:anchor="section_6d86eb7f">
        <w:r>
          <w:rPr>
            <w:b/>
            <w:bCs/>
            <w:color w:val="0a0a0a"/>
            <w:sz w:val="20"/>
            <w:szCs w:val="20"/>
          </w:rPr>
          <w:t xml:space="preserve">5. Day 1 Readiness Checklist</w:t>
        </w:r>
      </w:hyperlink>
      <w:r>
        <w:rPr>
          <w:color w:val="737373"/>
          <w:sz w:val="20"/>
          <w:szCs w:val="20"/>
        </w:rPr>
        <w:t xml:space="preserve">	7</w:t>
      </w:r>
    </w:p>
    <w:p>
      <w:pPr>
        <w:keepLines/>
        <w:tabs>
          <w:tab w:val="right" w:pos="9026" w:leader="dot"/>
        </w:tabs>
        <w:spacing w:before="0" w:after="20" w:line="220"/>
        <w:ind w:left="240"/>
      </w:pPr>
      <w:hyperlink w:history="1" w:anchor="section_a35506bf">
        <w:r>
          <w:rPr>
            <w:b/>
            <w:bCs/>
            <w:color w:val="0a0a0a"/>
            <w:sz w:val="20"/>
            <w:szCs w:val="20"/>
          </w:rPr>
          <w:t xml:space="preserve">6. Synergy Capture Tracking</w:t>
        </w:r>
      </w:hyperlink>
      <w:r>
        <w:rPr>
          <w:color w:val="737373"/>
          <w:sz w:val="20"/>
          <w:szCs w:val="20"/>
        </w:rPr>
        <w:t xml:space="preserve">	8</w:t>
      </w:r>
    </w:p>
    <w:p>
      <w:pPr>
        <w:keepLines/>
        <w:tabs>
          <w:tab w:val="right" w:pos="9026" w:leader="dot"/>
        </w:tabs>
        <w:spacing w:before="0" w:after="20" w:line="220"/>
        <w:ind w:left="240"/>
      </w:pPr>
      <w:hyperlink w:history="1" w:anchor="section_c5a43e0a">
        <w:r>
          <w:rPr>
            <w:b/>
            <w:bCs/>
            <w:color w:val="0a0a0a"/>
            <w:sz w:val="20"/>
            <w:szCs w:val="20"/>
          </w:rPr>
          <w:t xml:space="preserve">7. KPI Dashboard &amp; Tracking Cadence</w:t>
        </w:r>
      </w:hyperlink>
      <w:r>
        <w:rPr>
          <w:color w:val="737373"/>
          <w:sz w:val="20"/>
          <w:szCs w:val="20"/>
        </w:rPr>
        <w:t xml:space="preserve">	8</w:t>
      </w:r>
    </w:p>
    <w:p>
      <w:pPr>
        <w:keepLines/>
        <w:tabs>
          <w:tab w:val="right" w:pos="9026" w:leader="dot"/>
        </w:tabs>
        <w:spacing w:before="0" w:after="20" w:line="220"/>
        <w:ind w:left="240"/>
      </w:pPr>
      <w:hyperlink w:history="1" w:anchor="section_c5e56183">
        <w:r>
          <w:rPr>
            <w:b/>
            <w:bCs/>
            <w:color w:val="0a0a0a"/>
            <w:sz w:val="20"/>
            <w:szCs w:val="20"/>
          </w:rPr>
          <w:t xml:space="preserve">8. Top 5 Integration Risks &amp; Mitigations</w:t>
        </w:r>
      </w:hyperlink>
      <w:r>
        <w:rPr>
          <w:color w:val="737373"/>
          <w:sz w:val="20"/>
          <w:szCs w:val="20"/>
        </w:rPr>
        <w:t xml:space="preserve">	9</w:t>
      </w:r>
    </w:p>
    <w:p>
      <w:pPr>
        <w:keepLines/>
        <w:tabs>
          <w:tab w:val="right" w:pos="9026" w:leader="dot"/>
        </w:tabs>
        <w:spacing w:before="0" w:after="20" w:line="220"/>
        <w:ind w:left="240"/>
      </w:pPr>
      <w:hyperlink w:history="1" w:anchor="section_bf0e3d3a">
        <w:r>
          <w:rPr>
            <w:b/>
            <w:bCs/>
            <w:color w:val="0a0a0a"/>
            <w:sz w:val="20"/>
            <w:szCs w:val="20"/>
          </w:rPr>
          <w:t xml:space="preserve">9. Communications &amp; Change Management</w:t>
        </w:r>
      </w:hyperlink>
      <w:r>
        <w:rPr>
          <w:color w:val="737373"/>
          <w:sz w:val="20"/>
          <w:szCs w:val="20"/>
        </w:rPr>
        <w:t xml:space="preserve">	10</w:t>
      </w:r>
    </w:p>
    <w:p>
      <w:pPr>
        <w:keepLines/>
        <w:tabs>
          <w:tab w:val="right" w:pos="9026" w:leader="dot"/>
        </w:tabs>
        <w:spacing w:before="0" w:after="20" w:line="220"/>
        <w:ind w:left="240"/>
      </w:pPr>
      <w:hyperlink w:history="1" w:anchor="section_8947f1a7">
        <w:r>
          <w:rPr>
            <w:b/>
            <w:bCs/>
            <w:color w:val="0a0a0a"/>
            <w:sz w:val="20"/>
            <w:szCs w:val="20"/>
          </w:rPr>
          <w:t xml:space="preserve">10. Beyond Day 100 — Roadmap to Scale</w:t>
        </w:r>
      </w:hyperlink>
      <w:r>
        <w:rPr>
          <w:color w:val="737373"/>
          <w:sz w:val="20"/>
          <w:szCs w:val="20"/>
        </w:rPr>
        <w:t xml:space="preserve">	11</w:t>
      </w:r>
    </w:p>
    <w:p>
      <w:pPr>
        <w:spacing w:before="0" w:after="0"/>
      </w:pPr>
      <w:r>
        <w:br w:type="page"/>
      </w:r>
    </w:p>
    <w:p>
      <w:pPr>
        <w:pStyle w:val="Heading1"/>
        <w:keepNext/>
        <w:keepLines/>
        <w:spacing w:before="270" w:after="90" w:line="240"/>
        <w:rPr>
          <w:color w:val="0a0a0a"/>
        </w:rPr>
      </w:pPr>
      <w:bookmarkStart w:name="section_64f7e1e5" w:id="1"/>
      <w:r>
        <w:rPr>
          <w:rFonts w:ascii="Inter" w:cs="Inter" w:eastAsia="Inter" w:hAnsi="Inter"/>
          <w:b/>
          <w:bCs/>
          <w:color w:val="0a0a0a"/>
          <w:spacing w:val="-10"/>
        </w:rPr>
        <w:t xml:space="preserve">DroneUp Post-Merger Integration Plan — The First 100 Days</w:t>
      </w:r>
      <w:bookmarkEnd w:id="1"/>
    </w:p>
    <w:p>
      <w:pPr>
        <w:spacing w:after="200" w:line="276"/>
      </w:pPr>
      <w:r>
        <w:rPr>
          <w:i/>
          <w:iCs/>
        </w:rPr>
        <w:t xml:space="preserve">Prepared with reference to the</w:t>
      </w:r>
      <w:hyperlink w:history="1" r:id="rIdd-n1qxyorzih_rtwcfivg">
        <w:r>
          <w:rPr>
            <w:rStyle w:val="Hyperlink"/>
            <w:b/>
            <w:bCs/>
            <w:i/>
            <w:iCs/>
          </w:rPr>
          <w:t xml:space="preserve">DroneUp Company Profile: Strategic Fit Analysis for Walmart</w:t>
        </w:r>
      </w:hyperlink>
      <w:r>
        <w:rPr>
          <w:i/>
          <w:iCs/>
        </w:rPr>
        <w:t xml:space="preserve">[F-1], which establishes the acquisition thesis, asset inventory, and proposed deal structure this plan operationalizes.</w:t>
      </w:r>
    </w:p>
    <w:p>
      <w:pPr>
        <w:pStyle w:val="Heading2"/>
        <w:keepNext/>
        <w:keepLines/>
        <w:spacing w:before="210" w:after="90" w:line="240"/>
        <w:rPr>
          <w:color w:val="0a0a0a"/>
        </w:rPr>
      </w:pPr>
      <w:bookmarkStart w:name="section_a2bf2c26" w:id="1"/>
      <w:r>
        <w:rPr>
          <w:rFonts w:ascii="Inter" w:cs="Inter" w:eastAsia="Inter" w:hAnsi="Inter"/>
          <w:b/>
          <w:bCs/>
          <w:color w:val="0a0a0a"/>
          <w:spacing w:val="-8"/>
        </w:rPr>
        <w:t xml:space="preserve">1. Integration Thesis &amp; Guiding Principles</w:t>
      </w:r>
      <w:bookmarkEnd w:id="1"/>
    </w:p>
    <w:p>
      <w:pPr>
        <w:spacing w:after="200" w:line="276"/>
      </w:pPr>
      <w:r>
        <w:t xml:space="preserve">The DroneUp acquisition converts Walmart from a </w:t>
      </w:r>
      <w:r>
        <w:rPr>
          <w:b/>
          <w:bCs/>
        </w:rPr>
        <w:t xml:space="preserve">drone delivery customer</w:t>
      </w:r>
      <w:r>
        <w:t xml:space="preserve"> into a </w:t>
      </w:r>
      <w:r>
        <w:rPr>
          <w:b/>
          <w:bCs/>
        </w:rPr>
        <w:t xml:space="preserve">drone platform owner</w:t>
      </w:r>
      <w:r>
        <w:t xml:space="preserve"> [F-1]. The first 100 days determine whether the assets that justified the purchase price — the FAA Part 135 air carrier certificate, the ATOMx/Uncrew software stack, the engineering team, and three years of Walmart-specific operational data — arrive intact or degrade in transit. This plan is built on a simple thesis: </w:t>
      </w:r>
      <w:r>
        <w:rPr>
          <w:b/>
          <w:bCs/>
        </w:rPr>
        <w:t xml:space="preserve">integration success is measured by what we protect in the first 100 days, not what we change.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Part 135</w:t>
            </w:r>
          </w:p>
          <w:p>
            <w:pPr>
              <w:jc w:val="center"/>
            </w:pPr>
            <w:r>
              <w:rPr>
                <w:color w:val="737373"/>
                <w:sz w:val="16"/>
                <w:szCs w:val="16"/>
              </w:rPr>
              <w:t xml:space="preserve">FAA CERTIFICATE TO PROTECT DAY 1</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~291</w:t>
            </w:r>
          </w:p>
          <w:p>
            <w:pPr>
              <w:jc w:val="center"/>
            </w:pPr>
            <w:r>
              <w:rPr>
                <w:color w:val="737373"/>
                <w:sz w:val="16"/>
                <w:szCs w:val="16"/>
              </w:rPr>
              <w:t xml:space="preserve">EMPLOYEES TO STABILIZE &amp; RETAIN [F-1]</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6</w:t>
            </w:r>
          </w:p>
          <w:p>
            <w:pPr>
              <w:jc w:val="center"/>
            </w:pPr>
            <w:r>
              <w:rPr>
                <w:color w:val="737373"/>
                <w:sz w:val="16"/>
                <w:szCs w:val="16"/>
              </w:rPr>
              <w:t xml:space="preserve">INTEGRATION WORKSTREAMS</w:t>
            </w:r>
          </w:p>
        </w:tc>
        <w:tc>
          <w:tcPr>
            <w:tcW w:type="pct" w:w="25%"/>
            <w:tcBorders>
              <w:top w:val="single" w:color="e8e8e8" w:sz="6"/>
              <w:left w:val="single" w:color="d97706"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100 Days</w:t>
            </w:r>
          </w:p>
          <w:p>
            <w:pPr>
              <w:jc w:val="center"/>
            </w:pPr>
            <w:r>
              <w:rPr>
                <w:color w:val="737373"/>
                <w:sz w:val="16"/>
                <w:szCs w:val="16"/>
              </w:rPr>
              <w:t xml:space="preserve">TO SCALE-READY STATE</w:t>
            </w:r>
          </w:p>
        </w:tc>
      </w:tr>
    </w:tbl>
    <w:p>
      <w:pPr>
        <w:spacing w:before="0" w:after="200" w:line="1"/>
      </w:pPr>
    </w:p>
    <w:p>
      <w:pPr>
        <w:keepNext/>
        <w:keepLines/>
        <w:spacing w:after="200" w:line="276"/>
      </w:pPr>
      <w:r>
        <w:rPr>
          <w:b/>
          <w:bCs/>
        </w:rPr>
        <w:t xml:space="preserve">Guiding Principles</w:t>
      </w:r>
    </w:p>
    <w:p>
      <w:pPr>
        <w:spacing w:after="200" w:line="276"/>
        <w:ind w:left="520" w:hanging="0"/>
      </w:pPr>
      <w:r>
        <w:t xml:space="preserve">1. </w:t>
      </w:r>
      <w:r>
        <w:rPr>
          <w:b/>
          <w:bCs/>
        </w:rPr>
        <w:t xml:space="preserve">Flight operations continuity is non-negotiable.</w:t>
      </w:r>
      <w:r>
        <w:t xml:space="preserve"> DroneUp's active Part 135 delivery operations in Dallas–Fort Worth continue uninterrupted through close and beyond [F-1][7]. A single Day-1 operational lapse — a grounded fleet, a lapsed authorization, an SMS discontinuity — would impair the regulatory asset at the core of the deal thesis. The DFW network is the live testbed for everything that follows.</w:t>
      </w:r>
    </w:p>
    <w:p>
      <w:pPr>
        <w:spacing w:after="200" w:line="276"/>
        <w:ind w:left="520" w:hanging="0"/>
      </w:pPr>
      <w:r>
        <w:t xml:space="preserve">2. </w:t>
      </w:r>
      <w:r>
        <w:rPr>
          <w:b/>
          <w:bCs/>
        </w:rPr>
        <w:t xml:space="preserve">The FAA certificate and its people are one asset.</w:t>
      </w:r>
      <w:r>
        <w:t xml:space="preserve"> Part 135 authority is held through demonstrated safety management systems, accountable executives, and named operational personnel [7][F-1]. Retaining the Chief Pilot, Director of Operations, safety leadership, and the CTO's regulatory standing (FAA BVLOS ARC participation) is inseparable from retaining the certificate itself. Retention packages with 2–3 year vesting for the top ~25 regulatory-critical and engineering-critical personnel execute at close, not after [F-1].</w:t>
      </w:r>
    </w:p>
    <w:p>
      <w:pPr>
        <w:spacing w:after="200" w:line="276"/>
        <w:ind w:left="520" w:hanging="0"/>
      </w:pPr>
      <w:r>
        <w:t xml:space="preserve">3. </w:t>
      </w:r>
      <w:r>
        <w:rPr>
          <w:b/>
          <w:bCs/>
        </w:rPr>
        <w:t xml:space="preserve">Preserve the platform, integrate at the edges.</w:t>
      </w:r>
      <w:r>
        <w:t xml:space="preserve"> ATOMx and Uncrew remain intact product platforms operated by their existing teams. Walmart integrates through defined interfaces — store systems, order management, the Wing/Zipline orchestration layer — rather than absorbing DroneUp engineering into Walmart Global Tech in the first 100 days [F-1].</w:t>
      </w:r>
    </w:p>
    <w:p>
      <w:pPr>
        <w:spacing w:after="200" w:line="276"/>
        <w:ind w:left="520" w:hanging="0"/>
      </w:pPr>
      <w:r>
        <w:t xml:space="preserve">4. </w:t>
      </w:r>
      <w:r>
        <w:rPr>
          <w:b/>
          <w:bCs/>
        </w:rPr>
        <w:t xml:space="preserve">Scale on evidence, not enthusiasm.</w:t>
      </w:r>
      <w:r>
        <w:t xml:space="preserve"> The prior partnership failed on ~$30/delivery unit economics [F-1]. Store-network expansion beyond DFW is gated on demonstrated cost-per-delivery milestones (sub-$10 trajectory) and M:N operating ratios — the same milestones that drive the earn-out [F-1].</w:t>
      </w:r>
    </w:p>
    <w:p>
      <w:pPr>
        <w:spacing w:after="200" w:line="276"/>
        <w:ind w:left="520" w:hanging="0"/>
      </w:pPr>
      <w:r>
        <w:t xml:space="preserve">5. </w:t>
      </w:r>
      <w:r>
        <w:rPr>
          <w:b/>
          <w:bCs/>
        </w:rPr>
        <w:t xml:space="preserve">DroneUp operates as a distinct subsidiary with a Walmart mandate.</w:t>
      </w:r>
      <w:r>
        <w:t xml:space="preserve"> Speed, autonomy culture, and aviation safety culture are why the asset is valuable; a premature absorption into Walmart's corporate structure is the fastest way to destroy it. Governance runs through a dedicated Integration Management Office (IMO) reporting to the Chief Supply Chain Officer.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7c3aed" w:sz="16"/>
              <w:bottom w:val="single" w:color="e8e8e8" w:sz="4"/>
              <w:right w:val="single" w:color="e8e8e8" w:sz="4"/>
            </w:tcBorders>
            <w:shd w:fill="f5f3ff"/>
            <w:tcMar>
              <w:top w:type="dxa" w:w="200"/>
              <w:left w:type="dxa" w:w="250"/>
              <w:bottom w:type="dxa" w:w="200"/>
              <w:right w:type="dxa" w:w="250"/>
            </w:tcMar>
          </w:tcPr>
          <w:p>
            <w:pPr>
              <w:keepNext/>
              <w:keepLines/>
              <w:spacing w:after="120"/>
            </w:pPr>
            <w:r>
              <w:rPr>
                <w:b/>
                <w:bCs/>
                <w:color w:val="0a0a0a"/>
              </w:rPr>
              <w:t xml:space="preserve">🔗  Deal-Structure Dependency</w:t>
            </w:r>
          </w:p>
          <w:p>
            <w:pPr>
              <w:spacing w:after="0"/>
            </w:pPr>
            <w:r>
              <w:rPr>
                <w:color w:val="4b5563"/>
                <w:sz w:val="20"/>
                <w:szCs w:val="20"/>
              </w:rPr>
              <w:t xml:space="preserve">The earn-out (30–40% of consideration) is tied to cost-per-delivery milestones, ATOMx integration with Wing/Zipline operations, 50+ store scaling, and key-personnel retention [F-1]. Every workstream milestone below maps to an earn-out condition — the integration plan and the deal structure must be administered as one system.</w:t>
            </w:r>
          </w:p>
        </w:tc>
      </w:tr>
    </w:tbl>
    <w:p>
      <w:pPr>
        <w:spacing w:after="200"/>
      </w:pPr>
    </w:p>
    <w:p>
      <w:pPr>
        <w:pStyle w:val="Heading2"/>
        <w:keepNext/>
        <w:keepLines/>
        <w:spacing w:before="210" w:after="90" w:line="240"/>
        <w:rPr>
          <w:color w:val="0a0a0a"/>
        </w:rPr>
      </w:pPr>
      <w:bookmarkStart w:name="section_775c49ea" w:id="1"/>
      <w:r>
        <w:rPr>
          <w:rFonts w:ascii="Inter" w:cs="Inter" w:eastAsia="Inter" w:hAnsi="Inter"/>
          <w:b/>
          <w:bCs/>
          <w:color w:val="0a0a0a"/>
          <w:spacing w:val="-8"/>
        </w:rPr>
        <w:t xml:space="preserve">2. Governance &amp; Integration Management Office</w:t>
      </w:r>
      <w:bookmarkEnd w:id="1"/>
    </w:p>
    <w:p>
      <w:pPr>
        <w:spacing w:after="200" w:line="276"/>
      </w:pPr>
      <w:r>
        <w:t xml:space="preserve">Integration governance is designed for one thing: </w:t>
      </w:r>
      <w:r>
        <w:rPr>
          <w:b/>
          <w:bCs/>
        </w:rPr>
        <w:t xml:space="preserve">decision speed without safety compromise.</w:t>
      </w:r>
      <w:r>
        <w:t xml:space="preserve"> Every open question has a named forum, a named decider, and a 48-hour decision SLA — because the assets most at risk (people and certificates) degrade fastest while decisions sit in queues.</w:t>
      </w:r>
    </w:p>
    <w:p>
      <w:pPr>
        <w:spacing w:before="200" w:after="200"/>
        <w:jc w:val="center"/>
      </w:pPr>
      <w:r>
        <w:t xml:space="preserve">Failed to fetch picture</w:t>
      </w:r>
    </w:p>
    <w:p>
      <w:pPr>
        <w:keepNext/>
        <w:keepLines/>
        <w:spacing w:after="200" w:line="276"/>
      </w:pPr>
      <w:r>
        <w:rPr>
          <w:b/>
          <w:bCs/>
        </w:rPr>
        <w:t xml:space="preserve">Decision rights are explicit from Day 1:</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85"/>
        <w:gridCol w:w="2567"/>
        <w:gridCol w:w="1948"/>
      </w:tblGrid>
      <w:tr>
        <w:trPr>
          <w:tblHeader/>
        </w:trPr>
        <w:tc>
          <w:tcPr>
            <w:tcW w:type="pct" w:w="54.8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Decision Class</w:t>
            </w:r>
          </w:p>
        </w:tc>
        <w:tc>
          <w:tcPr>
            <w:tcW w:type="pct" w:w="25.6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Decider</w:t>
            </w:r>
          </w:p>
        </w:tc>
        <w:tc>
          <w:tcPr>
            <w:tcW w:type="pct" w:w="19.4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Escalation Path</w:t>
            </w:r>
          </w:p>
        </w:tc>
      </w:tr>
      <w:tr>
        <w:trPr>
          <w:cantSplit w:val="false"/>
        </w:trPr>
        <w:tc>
          <w:tcPr>
            <w:tcW w:type="pct" w:w="54.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Execution within approved workstream plan and budget</w:t>
            </w:r>
          </w:p>
        </w:tc>
        <w:tc>
          <w:tcPr>
            <w:tcW w:type="pct" w:w="25.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Paired workstream leads</w:t>
            </w:r>
          </w:p>
        </w:tc>
        <w:tc>
          <w:tcPr>
            <w:tcW w:type="pct" w:w="19.4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IMO (48 hrs)</w:t>
            </w:r>
          </w:p>
        </w:tc>
      </w:tr>
      <w:tr>
        <w:trPr>
          <w:cantSplit w:val="false"/>
        </w:trPr>
        <w:tc>
          <w:tcPr>
            <w:tcW w:type="pct" w:w="54.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Cross-workstream trade-offs, schedule changes, spend re-allocation &lt;$5M</w:t>
            </w:r>
          </w:p>
        </w:tc>
        <w:tc>
          <w:tcPr>
            <w:tcW w:type="pct" w:w="25.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IMO Integration Lead</w:t>
            </w:r>
          </w:p>
        </w:tc>
        <w:tc>
          <w:tcPr>
            <w:tcW w:type="pct" w:w="19.4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Steering Committee</w:t>
            </w:r>
          </w:p>
        </w:tc>
      </w:tr>
      <w:tr>
        <w:trPr>
          <w:cantSplit w:val="false"/>
        </w:trPr>
        <w:tc>
          <w:tcPr>
            <w:tcW w:type="pct" w:w="54.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Integration budget changes &gt;$5M, org design, earn-out interpretation, partner (Wing/Zipline) commercial terms</w:t>
            </w:r>
          </w:p>
        </w:tc>
        <w:tc>
          <w:tcPr>
            <w:tcW w:type="pct" w:w="25.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Steering Committee</w:t>
            </w:r>
          </w:p>
        </w:tc>
        <w:tc>
          <w:tcPr>
            <w:tcW w:type="pct" w:w="19.4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Board as required</w:t>
            </w:r>
          </w:p>
        </w:tc>
      </w:tr>
      <w:tr>
        <w:trPr>
          <w:cantSplit w:val="false"/>
        </w:trPr>
        <w:tc>
          <w:tcPr>
            <w:tcW w:type="pct" w:w="54.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Expansion capital beyond the 25-site shortlist, changes to deal-model assumptions</w:t>
            </w:r>
          </w:p>
        </w:tc>
        <w:tc>
          <w:tcPr>
            <w:tcW w:type="pct" w:w="25.6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Board / Executive Committee</w:t>
            </w:r>
          </w:p>
        </w:tc>
        <w:tc>
          <w:tcPr>
            <w:tcW w:type="pct" w:w="19.4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t>
            </w:r>
          </w:p>
        </w:tc>
      </w:tr>
    </w:tbl>
    <w:p>
      <w:pPr>
        <w:spacing w:after="200"/>
      </w:pPr>
    </w:p>
    <w:p>
      <w:pPr>
        <w:spacing w:after="200" w:line="276"/>
      </w:pPr>
      <w:r>
        <w:rPr>
          <w:b/>
          <w:bCs/>
        </w:rPr>
        <w:t xml:space="preserve">Operating cadence:</w:t>
      </w:r>
      <w:r>
        <w:t xml:space="preserve"> IMO stand-up weekly with all six workstream lead pairs · Steering Committee bi-weekly (CSCO chair) · Board gate reviews at Day 30 and Day 100. One exception to normal channels: </w:t>
      </w:r>
      <w:r>
        <w:rPr>
          <w:b/>
          <w:bCs/>
        </w:rPr>
        <w:t xml:space="preserve">any safety or FAA-certificate matter escalates directly and immediately to the Steering Committee chair and the accountable executive — no queue, no cadence.</w:t>
      </w:r>
    </w:p>
    <w:p>
      <w:pPr>
        <w:pStyle w:val="Heading2"/>
        <w:keepNext/>
        <w:keepLines/>
        <w:spacing w:before="210" w:after="90" w:line="240"/>
        <w:rPr>
          <w:color w:val="0a0a0a"/>
        </w:rPr>
      </w:pPr>
      <w:bookmarkStart w:name="section_b91372c5" w:id="1"/>
      <w:r>
        <w:rPr>
          <w:rFonts w:ascii="Inter" w:cs="Inter" w:eastAsia="Inter" w:hAnsi="Inter"/>
          <w:b/>
          <w:bCs/>
          <w:color w:val="0a0a0a"/>
          <w:spacing w:val="-8"/>
        </w:rPr>
        <w:t xml:space="preserve">3. Integration Workstreams — Day 1 / Day 30 / Day 100</w:t>
      </w:r>
      <w:bookmarkEnd w:id="1"/>
    </w:p>
    <w:p>
      <w:pPr>
        <w:spacing w:after="200" w:line="276"/>
      </w:pPr>
      <w:r>
        <w:t xml:space="preserve">Six workstreams carry the integration, each with a single accountable owner, sequenced against three gates: </w:t>
      </w:r>
      <w:r>
        <w:rPr>
          <w:b/>
          <w:bCs/>
        </w:rPr>
        <w:t xml:space="preserve">Day 1</w:t>
      </w:r>
      <w:r>
        <w:t xml:space="preserve"> (close — protect and stabilize), </w:t>
      </w:r>
      <w:r>
        <w:rPr>
          <w:b/>
          <w:bCs/>
        </w:rPr>
        <w:t xml:space="preserve">Day 30</w:t>
      </w:r>
      <w:r>
        <w:t xml:space="preserve"> (baseline and plan — nothing unknown), and </w:t>
      </w:r>
      <w:r>
        <w:rPr>
          <w:b/>
          <w:bCs/>
        </w:rPr>
        <w:t xml:space="preserve">Day 100</w:t>
      </w:r>
      <w:r>
        <w:t xml:space="preserve"> (integrated and scale-ready).</w:t>
      </w:r>
    </w:p>
    <w:p>
      <w:pPr>
        <w:spacing w:before="200" w:after="200"/>
        <w:jc w:val="center"/>
      </w:pPr>
      <w:r>
        <w:t xml:space="preserve">Failed to fetch picture</w:t>
      </w:r>
    </w:p>
    <w:p>
      <w:pPr>
        <w:pStyle w:val="Heading2"/>
        <w:keepNext/>
        <w:keepLines/>
        <w:spacing w:before="210" w:after="90" w:line="240"/>
        <w:rPr>
          <w:color w:val="0a0a0a"/>
        </w:rPr>
      </w:pPr>
      <w:bookmarkStart w:name="section_4d1a16a4" w:id="1"/>
      <w:r>
        <w:rPr>
          <w:rFonts w:ascii="Inter" w:cs="Inter" w:eastAsia="Inter" w:hAnsi="Inter"/>
          <w:b/>
          <w:bCs/>
          <w:color w:val="0a0a0a"/>
          <w:spacing w:val="-8"/>
        </w:rPr>
        <w:t xml:space="preserve">4. Workstream Charters</w:t>
      </w:r>
      <w:bookmarkEnd w:id="1"/>
    </w:p>
    <w:p>
      <w:pPr>
        <w:spacing w:after="200" w:line="276"/>
      </w:pPr>
      <w:r>
        <w:t xml:space="preserve">Each workstream below is a one-glance charter: accountable owner, the milestones that define the 100-day gate sequence, and the KPIs the Steering Committee reviews bi-weekly.</w:t>
      </w:r>
    </w:p>
    <w:p>
      <w:pPr>
        <w:pStyle w:val="Heading3"/>
        <w:keepNext/>
        <w:keepLines/>
        <w:spacing w:before="180" w:after="90" w:line="240"/>
        <w:rPr>
          <w:color w:val="0a0a0a"/>
        </w:rPr>
      </w:pPr>
      <w:bookmarkStart w:name="section_62a25f12" w:id="1"/>
      <w:r>
        <w:rPr>
          <w:rFonts w:ascii="Inter" w:cs="Inter" w:eastAsia="Inter" w:hAnsi="Inter"/>
          <w:b/>
          <w:bCs/>
          <w:color w:val="0a0a0a"/>
          <w:spacing w:val="-6"/>
        </w:rPr>
        <w:t xml:space="preserve">4.1 Flight Operations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8240"/>
      </w:tblGrid>
      <w:tr>
        <w:trPr>
          <w:tblHeader/>
        </w:trPr>
        <w:tc>
          <w:tcPr>
            <w:tcW w:type="pct" w:w="17.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Element</w:t>
            </w:r>
          </w:p>
        </w:tc>
        <w:tc>
          <w:tcPr>
            <w:tcW w:type="pct" w:w="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 COO (continuing), paired with Walmart VP Last-Mile Delivery</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DFW delivery operations fly without interruption; crew schedules, maintenance program, and dispatch unchanged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30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Full operational audit (fleet condition, spares, hub readiness); M:N multi-drone operations roadmap approved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100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M:N pilot live in DFW (1 operator supervising multiple aircraft); validated cost-per-delivery baseline and reduction glidepath</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KPIs</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Flight completion rate ≥98% · zero unplanned ground days · cost/delivery vs. $30 baseline trending to sub-$10 [F-1] · deliveries per hub per day</w:t>
            </w:r>
          </w:p>
        </w:tc>
      </w:tr>
    </w:tbl>
    <w:p>
      <w:pPr>
        <w:spacing w:after="200"/>
      </w:pPr>
    </w:p>
    <w:p>
      <w:pPr>
        <w:pStyle w:val="Heading3"/>
        <w:keepNext/>
        <w:keepLines/>
        <w:spacing w:before="180" w:after="90" w:line="240"/>
        <w:rPr>
          <w:color w:val="0a0a0a"/>
        </w:rPr>
      </w:pPr>
      <w:bookmarkStart w:name="section_8aa403a5" w:id="1"/>
      <w:r>
        <w:rPr>
          <w:rFonts w:ascii="Inter" w:cs="Inter" w:eastAsia="Inter" w:hAnsi="Inter"/>
          <w:b/>
          <w:bCs/>
          <w:color w:val="0a0a0a"/>
          <w:spacing w:val="-6"/>
        </w:rPr>
        <w:t xml:space="preserve">4.2 Technology &amp; UTM</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8240"/>
      </w:tblGrid>
      <w:tr>
        <w:trPr>
          <w:tblHeader/>
        </w:trPr>
        <w:tc>
          <w:tcPr>
            <w:tcW w:type="pct" w:w="17.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Element</w:t>
            </w:r>
          </w:p>
        </w:tc>
        <w:tc>
          <w:tcPr>
            <w:tcW w:type="pct" w:w="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 CTO, paired with Walmart Global Tech supply-chain architecture lead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ATOMx, Uncrew, and AirMap-derived codebases ring-fenced; IP escrow and access controls verified; no re-platforming decisions</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30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Target integration architecture signed: store systems, order management, and multi-operator orchestration interfaces specified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100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ATOMx orchestration pilot coordinating DroneUp, Wing, and Zipline flights at two test locations [F-1]</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KPIs</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Platform uptime ≥99.5% · zero critical-engineer departures from platform teams · orchestration pilot flights coordinated without conflict · API integration milestones on schedule</w:t>
            </w:r>
          </w:p>
        </w:tc>
      </w:tr>
    </w:tbl>
    <w:p>
      <w:pPr>
        <w:spacing w:after="200"/>
      </w:pPr>
    </w:p>
    <w:p>
      <w:pPr>
        <w:pStyle w:val="Heading3"/>
        <w:keepNext/>
        <w:keepLines/>
        <w:spacing w:before="180" w:after="90" w:line="240"/>
        <w:rPr>
          <w:color w:val="0a0a0a"/>
        </w:rPr>
      </w:pPr>
      <w:bookmarkStart w:name="section_1da6af13" w:id="1"/>
      <w:r>
        <w:rPr>
          <w:rFonts w:ascii="Inter" w:cs="Inter" w:eastAsia="Inter" w:hAnsi="Inter"/>
          <w:b/>
          <w:bCs/>
          <w:color w:val="0a0a0a"/>
          <w:spacing w:val="-6"/>
        </w:rPr>
        <w:t xml:space="preserve">4.3 People &amp; Culture</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8240"/>
      </w:tblGrid>
      <w:tr>
        <w:trPr>
          <w:tblHeader/>
        </w:trPr>
        <w:tc>
          <w:tcPr>
            <w:tcW w:type="pct" w:w="17.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Element</w:t>
            </w:r>
          </w:p>
        </w:tc>
        <w:tc>
          <w:tcPr>
            <w:tcW w:type="pct" w:w="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People lead for M&amp;A, paired with DroneUp head of HR</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Retention agreements executed for top ~25 regulatory- and engineering-critical staff; Day-1 communications and all-hands; benefits continuity confirmed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30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Organization design confirmed (subsidiary model); attrition watchlist and stay-interview program running</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100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≥90% retention of key talent; performance and incentive framework aligned to earn-out milestones</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KPIs</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Key-talent retention ≥90% [F-1] · overall regretted attrition &lt;5% · offer-acceptance on retention packages · engagement pulse scores</w:t>
            </w:r>
          </w:p>
        </w:tc>
      </w:tr>
    </w:tbl>
    <w:p>
      <w:pPr>
        <w:spacing w:after="200"/>
      </w:pPr>
    </w:p>
    <w:p>
      <w:pPr>
        <w:pStyle w:val="Heading3"/>
        <w:keepNext/>
        <w:keepLines/>
        <w:spacing w:before="180" w:after="90" w:line="240"/>
        <w:rPr>
          <w:color w:val="0a0a0a"/>
        </w:rPr>
      </w:pPr>
      <w:bookmarkStart w:name="section_33aa3d72" w:id="1"/>
      <w:r>
        <w:rPr>
          <w:rFonts w:ascii="Inter" w:cs="Inter" w:eastAsia="Inter" w:hAnsi="Inter"/>
          <w:b/>
          <w:bCs/>
          <w:color w:val="0a0a0a"/>
          <w:spacing w:val="-6"/>
        </w:rPr>
        <w:t xml:space="preserve">4.4 Commercial &amp; Stores Rollout</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8240"/>
      </w:tblGrid>
      <w:tr>
        <w:trPr>
          <w:tblHeader/>
        </w:trPr>
        <w:tc>
          <w:tcPr>
            <w:tcW w:type="pct" w:w="17.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Element</w:t>
            </w:r>
          </w:p>
        </w:tc>
        <w:tc>
          <w:tcPr>
            <w:tcW w:type="pct" w:w="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SVP Store Operations (delivery), paired with DroneUp VP Operations</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DFW customer experience unchanged; store-operations liaison named for each active hub</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30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Store-selection criteria approved (density, airspace, demand history from 36-hub archive [F-1]); 25-site expansion shortlist ratified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100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First 5 new supercenter hubs in physical build-out; DBX autonomous locker pilot at 2 stores</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KPIs</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Orders per hub per day · customer NPS ≥ prior-partnership benchmark · site build-out on time/on budget · DBX pilot utilization</w:t>
            </w:r>
          </w:p>
        </w:tc>
      </w:tr>
    </w:tbl>
    <w:p>
      <w:pPr>
        <w:spacing w:after="200"/>
      </w:pPr>
    </w:p>
    <w:p>
      <w:pPr>
        <w:pStyle w:val="Heading3"/>
        <w:keepNext/>
        <w:keepLines/>
        <w:spacing w:before="180" w:after="90" w:line="240"/>
        <w:rPr>
          <w:color w:val="0a0a0a"/>
        </w:rPr>
      </w:pPr>
      <w:bookmarkStart w:name="section_f12e8f5c" w:id="1"/>
      <w:r>
        <w:rPr>
          <w:rFonts w:ascii="Inter" w:cs="Inter" w:eastAsia="Inter" w:hAnsi="Inter"/>
          <w:b/>
          <w:bCs/>
          <w:color w:val="0a0a0a"/>
          <w:spacing w:val="-6"/>
        </w:rPr>
        <w:t xml:space="preserve">4.5 Regulatory &amp; Safety</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8240"/>
      </w:tblGrid>
      <w:tr>
        <w:trPr>
          <w:tblHeader/>
        </w:trPr>
        <w:tc>
          <w:tcPr>
            <w:tcW w:type="pct" w:w="17.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Element</w:t>
            </w:r>
          </w:p>
        </w:tc>
        <w:tc>
          <w:tcPr>
            <w:tcW w:type="pct" w:w="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 Chief Pilot / accountable executive, paired with Walmart Chief Counsel (aviation)</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 notified of change of ownership; certificate-holding entity, named management personnel, and SMS unchanged [7]</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30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Certificate transition plan accepted by FAA; complete inventory of waivers, exemptions, and expiry dates (incl. BVLOS authorizations) [7]</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100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 108 BVLOS readiness package prepared ahead of final rulemaking [F-1]; integrated safety reporting into Walmart risk governance</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KPIs</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Zero certificate actions or FAA findings · 100% of authorizations current (no lapse) · safety-event rate at or below trailing baseline · Part 108 filing readiness</w:t>
            </w:r>
          </w:p>
        </w:tc>
      </w:tr>
    </w:tbl>
    <w:p>
      <w:pPr>
        <w:spacing w:after="200"/>
      </w:pPr>
    </w:p>
    <w:p>
      <w:pPr>
        <w:pStyle w:val="Heading3"/>
        <w:keepNext/>
        <w:keepLines/>
        <w:spacing w:before="180" w:after="90" w:line="240"/>
        <w:rPr>
          <w:color w:val="0a0a0a"/>
        </w:rPr>
      </w:pPr>
      <w:bookmarkStart w:name="section_5c07cdde" w:id="1"/>
      <w:r>
        <w:rPr>
          <w:rFonts w:ascii="Inter" w:cs="Inter" w:eastAsia="Inter" w:hAnsi="Inter"/>
          <w:b/>
          <w:bCs/>
          <w:color w:val="0a0a0a"/>
          <w:spacing w:val="-6"/>
        </w:rPr>
        <w:t xml:space="preserve">4.6 Finance &amp; Synergies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8240"/>
      </w:tblGrid>
      <w:tr>
        <w:trPr>
          <w:tblHeader/>
        </w:trPr>
        <w:tc>
          <w:tcPr>
            <w:tcW w:type="pct" w:w="17.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Element</w:t>
            </w:r>
          </w:p>
        </w:tc>
        <w:tc>
          <w:tcPr>
            <w:tcW w:type="pct" w:w="82.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Detail</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Owner</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Corporate Development integration finance lead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Funds flow complete; payroll, AP, and transition services live; synergy baseline and earn-out measurement definitions locked</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30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Synergy register v1: every initiative with an owner, value estimate, and evidence standard; earn-out dashboard live</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Day 100</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First quarterly synergy report to Steering Committee; FY28 run-rate synergy forecast with confidence bands</w:t>
            </w:r>
          </w:p>
        </w:tc>
      </w:tr>
      <w:tr>
        <w:trPr>
          <w:cantSplit w:val="false"/>
        </w:trPr>
        <w:tc>
          <w:tcPr>
            <w:tcW w:type="pct" w:w="17.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KPIs</w:t>
            </w:r>
          </w:p>
        </w:tc>
        <w:tc>
          <w:tcPr>
            <w:tcW w:type="pct" w:w="82.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Synergy capture vs. plan · integration one-time costs vs. budget · earn-out milestone status · working-capital and cash-burn vs. close model</w:t>
            </w:r>
          </w:p>
        </w:tc>
      </w:tr>
    </w:tbl>
    <w:p>
      <w:pPr>
        <w:spacing w:after="200"/>
      </w:pPr>
    </w:p>
    <w:p>
      <w:pPr>
        <w:pStyle w:val="Heading3"/>
        <w:keepNext/>
        <w:keepLines/>
        <w:spacing w:before="180" w:after="90" w:line="240"/>
        <w:rPr>
          <w:color w:val="0a0a0a"/>
        </w:rPr>
      </w:pPr>
      <w:bookmarkStart w:name="section_d1cc4618" w:id="1"/>
      <w:r>
        <w:rPr>
          <w:rFonts w:ascii="Inter" w:cs="Inter" w:eastAsia="Inter" w:hAnsi="Inter"/>
          <w:b/>
          <w:bCs/>
          <w:color w:val="0a0a0a"/>
          <w:spacing w:val="-6"/>
        </w:rPr>
        <w:t xml:space="preserve">4.7 Hub-in-Supercenter Operating Model</w:t>
      </w:r>
      <w:bookmarkEnd w:id="1"/>
    </w:p>
    <w:p>
      <w:pPr>
        <w:spacing w:after="200" w:line="276"/>
      </w:pPr>
      <w:r>
        <w:t xml:space="preserve">The physical integration pattern below — proven across the 36-hub partnership network [F-1] — is the unit of replication for the stores rollout workstream.</w:t>
      </w:r>
    </w:p>
    <w:p>
      <w:pPr>
        <w:spacing w:before="200" w:after="200"/>
        <w:jc w:val="center"/>
      </w:pPr>
      <w:r>
        <w:t xml:space="preserve">Failed to fetch picture</w:t>
      </w:r>
    </w:p>
    <w:p>
      <w:pPr>
        <w:pStyle w:val="Heading2"/>
        <w:keepNext/>
        <w:keepLines/>
        <w:spacing w:before="210" w:after="90" w:line="240"/>
        <w:rPr>
          <w:color w:val="0a0a0a"/>
        </w:rPr>
      </w:pPr>
      <w:bookmarkStart w:name="section_6d86eb7f" w:id="1"/>
      <w:r>
        <w:rPr>
          <w:rFonts w:ascii="Inter" w:cs="Inter" w:eastAsia="Inter" w:hAnsi="Inter"/>
          <w:b/>
          <w:bCs/>
          <w:color w:val="0a0a0a"/>
          <w:spacing w:val="-8"/>
        </w:rPr>
        <w:t xml:space="preserve">5. Day 1 Readiness Checklist</w:t>
      </w:r>
      <w:bookmarkEnd w:id="1"/>
    </w:p>
    <w:p>
      <w:pPr>
        <w:spacing w:after="200" w:line="276"/>
      </w:pPr>
      <w:r>
        <w:t xml:space="preserve">The following items must be verifiably complete at close ("Day 1"). The IMO runs this checklist twice — at close-minus-7 days (dry run) and at close — and reports completion to the Steering Committee. The live version, with owners and timestamps, is maintained in the </w:t>
      </w:r>
      <w:r>
        <w:rPr>
          <w:b/>
          <w:bCs/>
        </w:rPr>
        <w:t xml:space="preserve">PMI Tracker</w:t>
      </w:r>
      <w:r>
        <w:t xml:space="preserve"> on the Spreadsheet tab.</w:t>
      </w:r>
    </w:p>
    <w:p>
      <w:pPr>
        <w:keepNext/>
        <w:keepLines/>
        <w:spacing w:after="200" w:line="276"/>
      </w:pPr>
      <w:r>
        <w:rPr>
          <w:b/>
          <w:bCs/>
        </w:rPr>
        <w:t xml:space="preserve">Legal, Finance &amp; Structure</w:t>
      </w:r>
    </w:p>
    <w:p>
      <w:pPr>
        <w:pStyle w:val="ListParagraph"/>
        <w:numPr>
          <w:ilvl w:val="0"/>
          <w:numId w:val="1"/>
        </w:numPr>
        <w:spacing w:after="200" w:line="276"/>
        <w:ind w:left="520" w:hanging="360"/>
      </w:pPr>
      <w:r>
        <w:t xml:space="preserve">[ ] Funds flow executed; escrow and earn-out administration agreements live</w:t>
      </w:r>
    </w:p>
    <w:p>
      <w:pPr>
        <w:pStyle w:val="ListParagraph"/>
        <w:numPr>
          <w:ilvl w:val="0"/>
          <w:numId w:val="1"/>
        </w:numPr>
        <w:spacing w:after="200" w:line="276"/>
        <w:ind w:left="520" w:hanging="360"/>
      </w:pPr>
      <w:r>
        <w:t xml:space="preserve">[ ] Certificate-holding legal entity unchanged; subsidiary governance documents effective</w:t>
      </w:r>
    </w:p>
    <w:p>
      <w:pPr>
        <w:pStyle w:val="ListParagraph"/>
        <w:numPr>
          <w:ilvl w:val="0"/>
          <w:numId w:val="1"/>
        </w:numPr>
        <w:spacing w:after="200" w:line="276"/>
        <w:ind w:left="520" w:hanging="360"/>
      </w:pPr>
      <w:r>
        <w:t xml:space="preserve">[ ] Payroll, benefits, AP/AR continuity confirmed (TSA where required)</w:t>
      </w:r>
    </w:p>
    <w:p>
      <w:pPr>
        <w:pStyle w:val="ListParagraph"/>
        <w:numPr>
          <w:ilvl w:val="0"/>
          <w:numId w:val="1"/>
        </w:numPr>
        <w:spacing w:after="200" w:line="276"/>
        <w:ind w:left="520" w:hanging="360"/>
      </w:pPr>
      <w:r>
        <w:t xml:space="preserve">[ ] Synergy and earn-out baselines ($30/delivery, partner rates, DFW throughput) frozen in the close model [F-1]</w:t>
      </w:r>
    </w:p>
    <w:p>
      <w:pPr>
        <w:keepNext/>
        <w:keepLines/>
        <w:spacing w:after="200" w:line="276"/>
      </w:pPr>
      <w:r>
        <w:rPr>
          <w:b/>
          <w:bCs/>
        </w:rPr>
        <w:t xml:space="preserve">People &amp; Communications</w:t>
      </w:r>
    </w:p>
    <w:p>
      <w:pPr>
        <w:pStyle w:val="ListParagraph"/>
        <w:numPr>
          <w:ilvl w:val="0"/>
          <w:numId w:val="1"/>
        </w:numPr>
        <w:spacing w:after="200" w:line="276"/>
        <w:ind w:left="520" w:hanging="360"/>
      </w:pPr>
      <w:r>
        <w:t xml:space="preserve">[ ] Retention agreements signed by top ~25 regulatory- and engineering-critical staff [F-1]</w:t>
      </w:r>
    </w:p>
    <w:p>
      <w:pPr>
        <w:pStyle w:val="ListParagraph"/>
        <w:numPr>
          <w:ilvl w:val="0"/>
          <w:numId w:val="1"/>
        </w:numPr>
        <w:spacing w:after="200" w:line="276"/>
        <w:ind w:left="520" w:hanging="360"/>
      </w:pPr>
      <w:r>
        <w:t xml:space="preserve">[ ] Day-1 all-hands scheduled (DroneUp CEO + Walmart CSCO); manager talking points distributed</w:t>
      </w:r>
    </w:p>
    <w:p>
      <w:pPr>
        <w:pStyle w:val="ListParagraph"/>
        <w:numPr>
          <w:ilvl w:val="0"/>
          <w:numId w:val="1"/>
        </w:numPr>
        <w:spacing w:after="200" w:line="276"/>
        <w:ind w:left="520" w:hanging="360"/>
      </w:pPr>
      <w:r>
        <w:t xml:space="preserve">[ ] FAQ live for all ~291 DroneUp employees; no-surprise commitments on comp and benefits [F-1]</w:t>
      </w:r>
    </w:p>
    <w:p>
      <w:pPr>
        <w:pStyle w:val="ListParagraph"/>
        <w:numPr>
          <w:ilvl w:val="0"/>
          <w:numId w:val="1"/>
        </w:numPr>
        <w:spacing w:after="200" w:line="276"/>
        <w:ind w:left="520" w:hanging="360"/>
      </w:pPr>
      <w:r>
        <w:t xml:space="preserve">[ ] External announcement coordinated: press release, customer notice, partner notifications</w:t>
      </w:r>
    </w:p>
    <w:p>
      <w:pPr>
        <w:keepNext/>
        <w:keepLines/>
        <w:spacing w:after="200" w:line="276"/>
      </w:pPr>
      <w:r>
        <w:rPr>
          <w:b/>
          <w:bCs/>
        </w:rPr>
        <w:t xml:space="preserve">Flight Operations &amp; Safety</w:t>
      </w:r>
    </w:p>
    <w:p>
      <w:pPr>
        <w:pStyle w:val="ListParagraph"/>
        <w:numPr>
          <w:ilvl w:val="0"/>
          <w:numId w:val="1"/>
        </w:numPr>
        <w:spacing w:after="200" w:line="276"/>
        <w:ind w:left="520" w:hanging="360"/>
      </w:pPr>
      <w:r>
        <w:t xml:space="preserve">[ ] DFW flight schedule confirmed for close week — no planned interruption</w:t>
      </w:r>
    </w:p>
    <w:p>
      <w:pPr>
        <w:pStyle w:val="ListParagraph"/>
        <w:numPr>
          <w:ilvl w:val="0"/>
          <w:numId w:val="1"/>
        </w:numPr>
        <w:spacing w:after="200" w:line="276"/>
        <w:ind w:left="520" w:hanging="360"/>
      </w:pPr>
      <w:r>
        <w:t xml:space="preserve">[ ] Safety Management System, manuals, and named operational personnel unchanged</w:t>
      </w:r>
    </w:p>
    <w:p>
      <w:pPr>
        <w:pStyle w:val="ListParagraph"/>
        <w:numPr>
          <w:ilvl w:val="0"/>
          <w:numId w:val="1"/>
        </w:numPr>
        <w:spacing w:after="200" w:line="276"/>
        <w:ind w:left="520" w:hanging="360"/>
      </w:pPr>
      <w:r>
        <w:t xml:space="preserve">[ ] Maintenance program, spares inventory, and dispatch procedures verified current</w:t>
      </w:r>
    </w:p>
    <w:p>
      <w:pPr>
        <w:keepNext/>
        <w:keepLines/>
        <w:spacing w:after="200" w:line="276"/>
      </w:pPr>
      <w:r>
        <w:rPr>
          <w:b/>
          <w:bCs/>
        </w:rPr>
        <w:t xml:space="preserve">Regulatory</w:t>
      </w:r>
    </w:p>
    <w:p>
      <w:pPr>
        <w:pStyle w:val="ListParagraph"/>
        <w:numPr>
          <w:ilvl w:val="0"/>
          <w:numId w:val="1"/>
        </w:numPr>
        <w:spacing w:after="200" w:line="276"/>
        <w:ind w:left="520" w:hanging="360"/>
      </w:pPr>
      <w:r>
        <w:t xml:space="preserve">[ ] FAA notified of change of ownership per certificate-transfer guidance [7]</w:t>
      </w:r>
    </w:p>
    <w:p>
      <w:pPr>
        <w:pStyle w:val="ListParagraph"/>
        <w:numPr>
          <w:ilvl w:val="0"/>
          <w:numId w:val="1"/>
        </w:numPr>
        <w:spacing w:after="200" w:line="276"/>
        <w:ind w:left="520" w:hanging="360"/>
      </w:pPr>
      <w:r>
        <w:t xml:space="preserve">[ ] Inventory of all certificates, waivers, exemptions, and expiry dates in hand</w:t>
      </w:r>
    </w:p>
    <w:p>
      <w:pPr>
        <w:pStyle w:val="ListParagraph"/>
        <w:numPr>
          <w:ilvl w:val="0"/>
          <w:numId w:val="1"/>
        </w:numPr>
        <w:spacing w:after="200" w:line="276"/>
        <w:ind w:left="520" w:hanging="360"/>
      </w:pPr>
      <w:r>
        <w:t xml:space="preserve">[ ] Regulatory counsel briefed; single point of contact to FAA named</w:t>
      </w:r>
    </w:p>
    <w:p>
      <w:pPr>
        <w:keepNext/>
        <w:keepLines/>
        <w:spacing w:after="200" w:line="276"/>
      </w:pPr>
      <w:r>
        <w:rPr>
          <w:b/>
          <w:bCs/>
        </w:rPr>
        <w:t xml:space="preserve">Technology</w:t>
      </w:r>
    </w:p>
    <w:p>
      <w:pPr>
        <w:pStyle w:val="ListParagraph"/>
        <w:numPr>
          <w:ilvl w:val="0"/>
          <w:numId w:val="1"/>
        </w:numPr>
        <w:spacing w:after="200" w:line="276"/>
        <w:ind w:left="520" w:hanging="360"/>
      </w:pPr>
      <w:r>
        <w:t xml:space="preserve">[ ] ATOMx / Uncrew / AirMap-derived codebases ring-fenced; access controls and IP escrow verified</w:t>
      </w:r>
    </w:p>
    <w:p>
      <w:pPr>
        <w:pStyle w:val="ListParagraph"/>
        <w:numPr>
          <w:ilvl w:val="0"/>
          <w:numId w:val="1"/>
        </w:numPr>
        <w:spacing w:after="200" w:line="276"/>
        <w:ind w:left="520" w:hanging="360"/>
      </w:pPr>
      <w:r>
        <w:t xml:space="preserve">[ ] No system migrations, re-platforming, or credential changes scheduled for the first 30 days</w:t>
      </w:r>
    </w:p>
    <w:p>
      <w:pPr>
        <w:pStyle w:val="ListParagraph"/>
        <w:numPr>
          <w:ilvl w:val="0"/>
          <w:numId w:val="1"/>
        </w:numPr>
        <w:spacing w:after="200" w:line="276"/>
        <w:ind w:left="520" w:hanging="360"/>
      </w:pPr>
      <w:r>
        <w:t xml:space="preserve">[ ] Cybersecurity posture review scheduled (Day 15) — aviation systems in scope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2563eb" w:sz="16"/>
              <w:bottom w:val="single" w:color="e8e8e8" w:sz="4"/>
              <w:right w:val="single" w:color="e8e8e8" w:sz="4"/>
            </w:tcBorders>
            <w:shd w:fill="f0f5ff"/>
            <w:tcMar>
              <w:top w:type="dxa" w:w="200"/>
              <w:left w:type="dxa" w:w="250"/>
              <w:bottom w:type="dxa" w:w="200"/>
              <w:right w:type="dxa" w:w="250"/>
            </w:tcMar>
          </w:tcPr>
          <w:p>
            <w:pPr>
              <w:keepNext/>
              <w:keepLines/>
              <w:spacing w:after="120"/>
            </w:pPr>
            <w:r>
              <w:rPr>
                <w:b/>
                <w:bCs/>
                <w:color w:val="0a0a0a"/>
              </w:rPr>
              <w:t xml:space="preserve">💭  Planning Assumption — Close Date</w:t>
            </w:r>
          </w:p>
          <w:p>
            <w:pPr>
              <w:spacing w:after="0"/>
            </w:pPr>
            <w:r>
              <w:rPr>
                <w:color w:val="4b5563"/>
                <w:sz w:val="20"/>
                <w:szCs w:val="20"/>
              </w:rPr>
              <w:t xml:space="preserve">For scheduling purposes this plan assumes a close date of September 1, 2026, making Day 30 = September 30, 2026 and Day 100 = December 9, 2026. All dates in the PMI Tracker (Spreadsheet tab) key off this assumption and re-flow automatically if close moves.</w:t>
            </w:r>
          </w:p>
        </w:tc>
      </w:tr>
    </w:tbl>
    <w:p>
      <w:pPr>
        <w:spacing w:after="200"/>
      </w:pPr>
    </w:p>
    <w:p>
      <w:pPr>
        <w:pStyle w:val="Heading2"/>
        <w:keepNext/>
        <w:keepLines/>
        <w:spacing w:before="210" w:after="90" w:line="240"/>
        <w:rPr>
          <w:color w:val="0a0a0a"/>
        </w:rPr>
      </w:pPr>
      <w:bookmarkStart w:name="section_a35506bf" w:id="1"/>
      <w:r>
        <w:rPr>
          <w:rFonts w:ascii="Inter" w:cs="Inter" w:eastAsia="Inter" w:hAnsi="Inter"/>
          <w:b/>
          <w:bCs/>
          <w:color w:val="0a0a0a"/>
          <w:spacing w:val="-8"/>
        </w:rPr>
        <w:t xml:space="preserve">6. Synergy Capture Tracking</w:t>
      </w:r>
      <w:bookmarkEnd w:id="1"/>
    </w:p>
    <w:p>
      <w:pPr>
        <w:spacing w:after="200" w:line="276"/>
      </w:pPr>
      <w:r>
        <w:t xml:space="preserve">Synergy tracking is administered as a single register owned by the Finance &amp; Synergies workstream, reviewed bi-weekly by the IMO and quarterly by the Steering Committee. Because 30–40% of deal consideration is an earn-out tied to operational milestones [F-1], synergy tracking and earn-out administration share one evidence base — one set of numbers, no parallel scorekeeping.</w:t>
      </w:r>
    </w:p>
    <w:p>
      <w:pPr>
        <w:keepNext/>
        <w:keepLines/>
        <w:spacing w:after="200" w:line="276"/>
      </w:pPr>
      <w:r>
        <w:rPr>
          <w:b/>
          <w:bCs/>
        </w:rPr>
        <w:t xml:space="preserve">Synergy categories and measurement basis:</w:t>
      </w:r>
    </w:p>
    <w:p>
      <w:pPr>
        <w:keepNext/>
        <w:keepLines/>
        <w:spacing w:after="200" w:line="276"/>
      </w:pPr>
      <w:r>
        <w:rPr>
          <w:b/>
          <w:bCs/>
        </w:rPr>
        <w:t xml:space="preserve">Synergy Register — Categories, Basis of Measurement, and Timing</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42"/>
        <w:gridCol w:w="3611"/>
        <w:gridCol w:w="3564"/>
        <w:gridCol w:w="1283"/>
      </w:tblGrid>
      <w:tr>
        <w:trPr>
          <w:tblHeader/>
        </w:trPr>
        <w:tc>
          <w:tcPr>
            <w:tcW w:type="pct" w:w="15.4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Category</w:t>
            </w:r>
          </w:p>
        </w:tc>
        <w:tc>
          <w:tcPr>
            <w:tcW w:type="pct" w:w="36.1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Primary Lever</w:t>
            </w:r>
          </w:p>
        </w:tc>
        <w:tc>
          <w:tcPr>
            <w:tcW w:type="pct" w:w="35.6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Measurement Basis</w:t>
            </w:r>
          </w:p>
        </w:tc>
        <w:tc>
          <w:tcPr>
            <w:tcW w:type="pct" w:w="12.8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Expected Timing</w:t>
            </w:r>
          </w:p>
        </w:tc>
      </w:tr>
      <w:tr>
        <w:trPr>
          <w:cantSplit w:val="false"/>
        </w:trPr>
        <w:tc>
          <w:tcPr>
            <w:tcW w:type="pct" w:w="15.4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Delivery cost reduction</w:t>
            </w:r>
          </w:p>
        </w:tc>
        <w:tc>
          <w:tcPr>
            <w:tcW w:type="pct" w:w="36.1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M:N operations, BVLOS radius, DBX automation</w:t>
            </w:r>
          </w:p>
        </w:tc>
        <w:tc>
          <w:tcPr>
            <w:tcW w:type="pct" w:w="35.6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Cost per delivery vs. $30 baseline; target sub-$10 by Month 18, sub-$7 by Month 36 [F-1]</w:t>
            </w:r>
          </w:p>
        </w:tc>
        <w:tc>
          <w:tcPr>
            <w:tcW w:type="pct" w:w="12.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Quarters 2–12</w:t>
            </w:r>
          </w:p>
        </w:tc>
      </w:tr>
      <w:tr>
        <w:trPr>
          <w:cantSplit w:val="false"/>
        </w:trPr>
        <w:tc>
          <w:tcPr>
            <w:tcW w:type="pct" w:w="15.4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Partner-spend leverage</w:t>
            </w:r>
          </w:p>
        </w:tc>
        <w:tc>
          <w:tcPr>
            <w:tcW w:type="pct" w:w="36.1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ATOMx orchestration across Wing/Zipline creates pricing transparency and negotiating leverage</w:t>
            </w:r>
          </w:p>
        </w:tc>
        <w:tc>
          <w:tcPr>
            <w:tcW w:type="pct" w:w="35.6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Per-delivery rates and contract terms vs. pre-close benchmarks</w:t>
            </w:r>
          </w:p>
        </w:tc>
        <w:tc>
          <w:tcPr>
            <w:tcW w:type="pct" w:w="12.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Quarters 3–8</w:t>
            </w:r>
          </w:p>
        </w:tc>
      </w:tr>
      <w:tr>
        <w:trPr>
          <w:cantSplit w:val="false"/>
        </w:trPr>
        <w:tc>
          <w:tcPr>
            <w:tcW w:type="pct" w:w="15.4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Revenue per hub</w:t>
            </w:r>
          </w:p>
        </w:tc>
        <w:tc>
          <w:tcPr>
            <w:tcW w:type="pct" w:w="36.1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5-mile BVLOS radius expands serviceable households ~300% per hub [F-1]</w:t>
            </w:r>
          </w:p>
        </w:tc>
        <w:tc>
          <w:tcPr>
            <w:tcW w:type="pct" w:w="35.6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Orders per hub per day; households reachable per hub</w:t>
            </w:r>
          </w:p>
        </w:tc>
        <w:tc>
          <w:tcPr>
            <w:tcW w:type="pct" w:w="12.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Quarters 2–6</w:t>
            </w:r>
          </w:p>
        </w:tc>
      </w:tr>
      <w:tr>
        <w:trPr>
          <w:cantSplit w:val="false"/>
        </w:trPr>
        <w:tc>
          <w:tcPr>
            <w:tcW w:type="pct" w:w="15.4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Avoided build cost</w:t>
            </w:r>
          </w:p>
        </w:tc>
        <w:tc>
          <w:tcPr>
            <w:tcW w:type="pct" w:w="36.1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Owning the stack vs. in-house build ($161.5M NPV advantage per Buy-vs-Build model [F-1])</w:t>
            </w:r>
          </w:p>
        </w:tc>
        <w:tc>
          <w:tcPr>
            <w:tcW w:type="pct" w:w="35.6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Tracked once at close; validated against integration actuals</w:t>
            </w:r>
          </w:p>
        </w:tc>
        <w:tc>
          <w:tcPr>
            <w:tcW w:type="pct" w:w="12.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One-time</w:t>
            </w:r>
          </w:p>
        </w:tc>
      </w:tr>
      <w:tr>
        <w:trPr>
          <w:cantSplit w:val="false"/>
        </w:trPr>
        <w:tc>
          <w:tcPr>
            <w:tcW w:type="pct" w:w="15.4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New revenue options</w:t>
            </w:r>
          </w:p>
        </w:tc>
        <w:tc>
          <w:tcPr>
            <w:tcW w:type="pct" w:w="36.1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ATOMx licensing, healthcare/pharmacy delivery via ~4,600 Walmart pharmacies [F-1]</w:t>
            </w:r>
          </w:p>
        </w:tc>
        <w:tc>
          <w:tcPr>
            <w:tcW w:type="pct" w:w="35.6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Qualified pipeline; pilot revenue</w:t>
            </w:r>
          </w:p>
        </w:tc>
        <w:tc>
          <w:tcPr>
            <w:tcW w:type="pct" w:w="12.8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Quarters 4–12</w:t>
            </w:r>
          </w:p>
        </w:tc>
      </w:tr>
    </w:tbl>
    <w:p>
      <w:pPr>
        <w:spacing w:after="200"/>
      </w:pPr>
    </w:p>
    <w:p>
      <w:pPr>
        <w:keepNext/>
        <w:keepLines/>
        <w:spacing w:after="200" w:line="276"/>
      </w:pPr>
      <w:r>
        <w:rPr>
          <w:b/>
          <w:bCs/>
        </w:rPr>
        <w:t xml:space="preserve">Operating rules of the register:</w:t>
      </w:r>
    </w:p>
    <w:p>
      <w:pPr>
        <w:pStyle w:val="ListParagraph"/>
        <w:numPr>
          <w:ilvl w:val="0"/>
          <w:numId w:val="1"/>
        </w:numPr>
        <w:spacing w:after="200" w:line="276"/>
        <w:ind w:left="520" w:hanging="360"/>
      </w:pPr>
      <w:r>
        <w:rPr>
          <w:b/>
          <w:bCs/>
        </w:rPr>
        <w:t xml:space="preserve">Every synergy has one owner and one evidence standard</w:t>
      </w:r>
      <w:r>
        <w:t xml:space="preserve"> — a named executive and an agreed data source (flight logs, invoices, contract rates) defined at Day 30, before value is claimed.</w:t>
      </w:r>
    </w:p>
    <w:p>
      <w:pPr>
        <w:pStyle w:val="ListParagraph"/>
        <w:numPr>
          <w:ilvl w:val="0"/>
          <w:numId w:val="1"/>
        </w:numPr>
        <w:spacing w:after="200" w:line="276"/>
        <w:ind w:left="520" w:hanging="360"/>
      </w:pPr>
      <w:r>
        <w:rPr>
          <w:b/>
          <w:bCs/>
        </w:rPr>
        <w:t xml:space="preserve">Baselines are frozen at close.</w:t>
      </w:r>
      <w:r>
        <w:t xml:space="preserve"> The $30/delivery figure, current partner rates, and DFW throughput are locked in the close model so capture is measured against a fixed reference, not a moving one [F-1].</w:t>
      </w:r>
    </w:p>
    <w:p>
      <w:pPr>
        <w:pStyle w:val="ListParagraph"/>
        <w:numPr>
          <w:ilvl w:val="0"/>
          <w:numId w:val="1"/>
        </w:numPr>
        <w:spacing w:after="200" w:line="276"/>
        <w:ind w:left="520" w:hanging="360"/>
      </w:pPr>
      <w:r>
        <w:rPr>
          <w:b/>
          <w:bCs/>
        </w:rPr>
        <w:t xml:space="preserve">Phased credibility:</w:t>
      </w:r>
      <w:r>
        <w:t xml:space="preserve"> synergies are carried at identified → validated → contracted/realized stages; only realized value is reported to the board.</w:t>
      </w:r>
    </w:p>
    <w:p>
      <w:pPr>
        <w:pStyle w:val="ListParagraph"/>
        <w:numPr>
          <w:ilvl w:val="0"/>
          <w:numId w:val="1"/>
        </w:numPr>
        <w:spacing w:after="200" w:line="276"/>
        <w:ind w:left="520" w:hanging="360"/>
      </w:pPr>
      <w:r>
        <w:rPr>
          <w:b/>
          <w:bCs/>
        </w:rPr>
        <w:t xml:space="preserve">Costs-to-achieve tracked alongside benefits</w:t>
      </w:r>
      <w:r>
        <w:t xml:space="preserve"> — retention packages, hub build-outs, and integration engineering are netted in the same report, so the Steering Committee always sees net synergy.</w:t>
      </w:r>
    </w:p>
    <w:p>
      <w:pPr>
        <w:pStyle w:val="Heading2"/>
        <w:keepNext/>
        <w:keepLines/>
        <w:spacing w:before="210" w:after="90" w:line="240"/>
        <w:rPr>
          <w:color w:val="0a0a0a"/>
        </w:rPr>
      </w:pPr>
      <w:bookmarkStart w:name="section_c5a43e0a" w:id="1"/>
      <w:r>
        <w:rPr>
          <w:rFonts w:ascii="Inter" w:cs="Inter" w:eastAsia="Inter" w:hAnsi="Inter"/>
          <w:b/>
          <w:bCs/>
          <w:color w:val="0a0a0a"/>
          <w:spacing w:val="-8"/>
        </w:rPr>
        <w:t xml:space="preserve">7. KPI Dashboard &amp; Tracking Cadence</w:t>
      </w:r>
      <w:bookmarkEnd w:id="1"/>
    </w:p>
    <w:p>
      <w:pPr>
        <w:spacing w:after="200" w:line="276"/>
      </w:pPr>
      <w:r>
        <w:t xml:space="preserve">Six North-Star KPIs — one per workstream — roll up to the Steering Committee dashboard. Everything else is workstream-level telemetry. The live dashboard, milestone tracker, synergy register, and risk register are maintained in the </w:t>
      </w:r>
      <w:r>
        <w:rPr>
          <w:b/>
          <w:bCs/>
        </w:rPr>
        <w:t xml:space="preserve">PMI Tracker workbook on the Spreadsheet tab</w:t>
      </w:r>
      <w:r>
        <w:t xml:space="preserve"> of this document; the table below defines the contract.</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5"/>
        <w:gridCol w:w="1506"/>
        <w:gridCol w:w="1489"/>
        <w:gridCol w:w="2296"/>
        <w:gridCol w:w="2514"/>
      </w:tblGrid>
      <w:tr>
        <w:trPr>
          <w:tblHeader/>
        </w:trPr>
        <w:tc>
          <w:tcPr>
            <w:tcW w:type="pct" w:w="21.9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North-Star KPI</w:t>
            </w:r>
          </w:p>
        </w:tc>
        <w:tc>
          <w:tcPr>
            <w:tcW w:type="pct" w:w="15.0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Workstream</w:t>
            </w:r>
          </w:p>
        </w:tc>
        <w:tc>
          <w:tcPr>
            <w:tcW w:type="pct" w:w="14.8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Baseline (Close)</w:t>
            </w:r>
          </w:p>
        </w:tc>
        <w:tc>
          <w:tcPr>
            <w:tcW w:type="pct" w:w="22.9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Day 100 Target</w:t>
            </w:r>
          </w:p>
        </w:tc>
        <w:tc>
          <w:tcPr>
            <w:tcW w:type="pct" w:w="25.1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Long-Term Target</w:t>
            </w:r>
          </w:p>
        </w:tc>
      </w:tr>
      <w:tr>
        <w:trPr>
          <w:cantSplit w:val="false"/>
        </w:trPr>
        <w:tc>
          <w:tcPr>
            <w:tcW w:type="pct" w:w="21.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Cost per delivery</w:t>
            </w:r>
          </w:p>
        </w:tc>
        <w:tc>
          <w:tcPr>
            <w:tcW w:type="pct" w:w="15.0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Flight Operations</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 [F-1]</w:t>
            </w:r>
          </w:p>
        </w:tc>
        <w:tc>
          <w:tcPr>
            <w:tcW w:type="pct" w:w="22.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Validated glidepath; M:N pilot live</w:t>
            </w:r>
          </w:p>
        </w:tc>
        <w:tc>
          <w:tcPr>
            <w:tcW w:type="pct" w:w="25.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&lt;$10 by Month 18 · &lt;$7 by Month 36 [F-1]</w:t>
            </w:r>
          </w:p>
        </w:tc>
      </w:tr>
      <w:tr>
        <w:trPr>
          <w:cantSplit w:val="false"/>
        </w:trPr>
        <w:tc>
          <w:tcPr>
            <w:tcW w:type="pct" w:w="21.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Platform uptime / orchestration pilot status</w:t>
            </w:r>
          </w:p>
        </w:tc>
        <w:tc>
          <w:tcPr>
            <w:tcW w:type="pct" w:w="15.0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Technology &amp; UTM</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99.5% standalone</w:t>
            </w:r>
          </w:p>
        </w:tc>
        <w:tc>
          <w:tcPr>
            <w:tcW w:type="pct" w:w="22.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 operators coordinated at 2 sites</w:t>
            </w:r>
          </w:p>
        </w:tc>
        <w:tc>
          <w:tcPr>
            <w:tcW w:type="pct" w:w="25.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ATOMx as network-wide orchestration layer</w:t>
            </w:r>
          </w:p>
        </w:tc>
      </w:tr>
      <w:tr>
        <w:trPr>
          <w:cantSplit w:val="false"/>
        </w:trPr>
        <w:tc>
          <w:tcPr>
            <w:tcW w:type="pct" w:w="21.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Key-talent retention</w:t>
            </w:r>
          </w:p>
        </w:tc>
        <w:tc>
          <w:tcPr>
            <w:tcW w:type="pct" w:w="15.0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People &amp; Culture</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 at close</w:t>
            </w:r>
          </w:p>
        </w:tc>
        <w:tc>
          <w:tcPr>
            <w:tcW w:type="pct" w:w="22.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≥90%</w:t>
            </w:r>
          </w:p>
        </w:tc>
        <w:tc>
          <w:tcPr>
            <w:tcW w:type="pct" w:w="25.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≥85% through earn-out vesting</w:t>
            </w:r>
          </w:p>
        </w:tc>
      </w:tr>
      <w:tr>
        <w:trPr>
          <w:cantSplit w:val="false"/>
        </w:trPr>
        <w:tc>
          <w:tcPr>
            <w:tcW w:type="pct" w:w="21.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Active hub count &amp; orders/hub/day</w:t>
            </w:r>
          </w:p>
        </w:tc>
        <w:tc>
          <w:tcPr>
            <w:tcW w:type="pct" w:w="15.0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Commercial &amp; Stores</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DFW network</w:t>
            </w:r>
          </w:p>
        </w:tc>
        <w:tc>
          <w:tcPr>
            <w:tcW w:type="pct" w:w="22.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 new hubs in build-out; DBX at 2 stores</w:t>
            </w:r>
          </w:p>
        </w:tc>
        <w:tc>
          <w:tcPr>
            <w:tcW w:type="pct" w:w="25.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 locations by Month 36 [F-1]</w:t>
            </w:r>
          </w:p>
        </w:tc>
      </w:tr>
      <w:tr>
        <w:trPr>
          <w:cantSplit w:val="false"/>
        </w:trPr>
        <w:tc>
          <w:tcPr>
            <w:tcW w:type="pct" w:w="21.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Certificate &amp; authorization health</w:t>
            </w:r>
          </w:p>
        </w:tc>
        <w:tc>
          <w:tcPr>
            <w:tcW w:type="pct" w:w="15.0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Regulatory &amp; Safety</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All current</w:t>
            </w:r>
          </w:p>
        </w:tc>
        <w:tc>
          <w:tcPr>
            <w:tcW w:type="pct" w:w="22.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Zero findings; zero lapses</w:t>
            </w:r>
          </w:p>
        </w:tc>
        <w:tc>
          <w:tcPr>
            <w:tcW w:type="pct" w:w="25.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 108 approvals as rules finalize [F-1]</w:t>
            </w:r>
          </w:p>
        </w:tc>
      </w:tr>
      <w:tr>
        <w:trPr>
          <w:cantSplit w:val="false"/>
        </w:trPr>
        <w:tc>
          <w:tcPr>
            <w:tcW w:type="pct" w:w="21.9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Net synergy captured vs. plan</w:t>
            </w:r>
          </w:p>
        </w:tc>
        <w:tc>
          <w:tcPr>
            <w:tcW w:type="pct" w:w="15.0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Finance &amp; Synergies</w:t>
            </w:r>
          </w:p>
        </w:tc>
        <w:tc>
          <w:tcPr>
            <w:tcW w:type="pct" w:w="14.8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$0</w:t>
            </w:r>
          </w:p>
        </w:tc>
        <w:tc>
          <w:tcPr>
            <w:tcW w:type="pct" w:w="22.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Register 100% owner-assigned; first report issued</w:t>
            </w:r>
          </w:p>
        </w:tc>
        <w:tc>
          <w:tcPr>
            <w:tcW w:type="pct" w:w="25.1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FY28 run-rate per close model</w:t>
            </w:r>
          </w:p>
        </w:tc>
      </w:tr>
    </w:tbl>
    <w:p>
      <w:pPr>
        <w:spacing w:after="200"/>
      </w:pPr>
    </w:p>
    <w:p>
      <w:pPr>
        <w:spacing w:before="200" w:after="200"/>
        <w:jc w:val="center"/>
      </w:pPr>
      <w:r>
        <w:drawing>
          <wp:inline distT="0" distB="0" distL="0" distR="0">
            <wp:extent cx="5524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24500" cy="2971800"/>
                    </a:xfrm>
                    <a:prstGeom prst="rect">
                      <a:avLst/>
                    </a:prstGeom>
                  </pic:spPr>
                </pic:pic>
              </a:graphicData>
            </a:graphic>
          </wp:inline>
        </w:drawing>
      </w:r>
    </w:p>
    <w:p>
      <w:pPr>
        <w:spacing w:after="200" w:line="276"/>
      </w:pPr>
      <w:r>
        <w:t xml:space="preserve">The glidepath trajectory between the $30 baseline and the two contractual earn-out gates (&lt;$10 at Month 18, &lt;$7 at Month 36 [F-1]) is an illustrative planning curve; the Flight Operations workstream validates the actual curve at Day 100 and the Finance workstream re-forecasts quarterly against it.</w:t>
      </w:r>
    </w:p>
    <w:p>
      <w:pPr>
        <w:spacing w:after="200" w:line="276"/>
      </w:pPr>
      <w:r>
        <w:rPr>
          <w:b/>
          <w:bCs/>
        </w:rPr>
        <w:t xml:space="preserve">Reporting rhythm:</w:t>
      </w:r>
      <w:r>
        <w:t xml:space="preserve"> workstream KPIs refresh weekly in the tracker → IMO reviews exceptions weekly → Steering Committee reviews the six North-Star KPIs bi-weekly → Board sees the full dashboard at the Day 30 and Day 100 gates.</w:t>
      </w:r>
    </w:p>
    <w:p>
      <w:pPr>
        <w:pStyle w:val="Heading2"/>
        <w:keepNext/>
        <w:keepLines/>
        <w:spacing w:before="210" w:after="90" w:line="240"/>
        <w:rPr>
          <w:color w:val="0a0a0a"/>
        </w:rPr>
      </w:pPr>
      <w:bookmarkStart w:name="section_c5e56183" w:id="1"/>
      <w:r>
        <w:rPr>
          <w:rFonts w:ascii="Inter" w:cs="Inter" w:eastAsia="Inter" w:hAnsi="Inter"/>
          <w:b/>
          <w:bCs/>
          <w:color w:val="0a0a0a"/>
          <w:spacing w:val="-8"/>
        </w:rPr>
        <w:t xml:space="preserve">8. Top 5 Integration Risks &amp; Mitigations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32"/>
        <w:gridCol w:w="4097"/>
        <w:gridCol w:w="1174"/>
        <w:gridCol w:w="4097"/>
      </w:tblGrid>
      <w:tr>
        <w:trPr>
          <w:tblHeader/>
        </w:trPr>
        <w:tc>
          <w:tcPr>
            <w:tcW w:type="pct" w:w="6.3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t>
            </w:r>
          </w:p>
        </w:tc>
        <w:tc>
          <w:tcPr>
            <w:tcW w:type="pct" w:w="40.9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Risk</w:t>
            </w:r>
          </w:p>
        </w:tc>
        <w:tc>
          <w:tcPr>
            <w:tcW w:type="pct" w:w="11.7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Impact</w:t>
            </w:r>
          </w:p>
        </w:tc>
        <w:tc>
          <w:tcPr>
            <w:tcW w:type="pct" w:w="40.9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Mitigation</w:t>
            </w:r>
          </w:p>
        </w:tc>
      </w:tr>
      <w:tr>
        <w:trPr>
          <w:cantSplit w:val="false"/>
        </w:trPr>
        <w:tc>
          <w:tcPr>
            <w:tcW w:type="pct" w:w="6.3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Key-talent flight</w:t>
            </w:r>
            <w:r>
              <w:rPr>
                <w:color w:val="4b5563"/>
                <w:sz w:val="20"/>
                <w:szCs w:val="20"/>
              </w:rPr>
              <w:t xml:space="preserve"> — regulatory-critical personnel and platform engineers depart post-close, degrading both the Part 135 certificate and the technology asset [F-1]</w:t>
            </w:r>
          </w:p>
        </w:tc>
        <w:tc>
          <w:tcPr>
            <w:tcW w:type="pct" w:w="11.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Retention packages with 2–3 year vesting signed at close for top ~25; earn-out ties founder/leadership economics to staying; attrition watchlist with weekly IMO review</w:t>
            </w:r>
          </w:p>
        </w:tc>
      </w:tr>
      <w:tr>
        <w:trPr>
          <w:cantSplit w:val="false"/>
        </w:trPr>
        <w:tc>
          <w:tcPr>
            <w:tcW w:type="pct" w:w="6.3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FAA certificate disruption</w:t>
            </w:r>
            <w:r>
              <w:rPr>
                <w:color w:val="4b5563"/>
                <w:sz w:val="20"/>
                <w:szCs w:val="20"/>
              </w:rPr>
              <w:t xml:space="preserve"> — change of ownership triggers certificate review; a lapse in named personnel or SMS continuity impairs operating authority [7]</w:t>
            </w:r>
          </w:p>
        </w:tc>
        <w:tc>
          <w:tcPr>
            <w:tcW w:type="pct" w:w="11.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 Day-1 changes to certificate-holding entity, accountable executives, or safety systems; proactive FAA engagement pre- and post-close; Regulatory &amp; Safety workstream gate at Day 30</w:t>
            </w:r>
          </w:p>
        </w:tc>
      </w:tr>
      <w:tr>
        <w:trPr>
          <w:cantSplit w:val="false"/>
        </w:trPr>
        <w:tc>
          <w:tcPr>
            <w:tcW w:type="pct" w:w="6.3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Unit economics fail to improve</w:t>
            </w:r>
            <w:r>
              <w:rPr>
                <w:color w:val="4b5563"/>
                <w:sz w:val="20"/>
                <w:szCs w:val="20"/>
              </w:rPr>
              <w:t xml:space="preserve"> — the ~$30/delivery structure that ended the partnership persists, undermining the scaling thesis [F-1]</w:t>
            </w:r>
          </w:p>
        </w:tc>
        <w:tc>
          <w:tcPr>
            <w:tcW w:type="pct" w:w="11.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High</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Expansion gated on demonstrated cost milestones; M:N pilot by Day 100; earn-out structure shares this risk with the seller; DFW testbed proves economics before capital deploys to new stores</w:t>
            </w:r>
          </w:p>
        </w:tc>
      </w:tr>
      <w:tr>
        <w:trPr>
          <w:cantSplit w:val="false"/>
        </w:trPr>
        <w:tc>
          <w:tcPr>
            <w:tcW w:type="pct" w:w="6.3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4</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Integration smothers the asset</w:t>
            </w:r>
            <w:r>
              <w:rPr>
                <w:color w:val="4b5563"/>
                <w:sz w:val="20"/>
                <w:szCs w:val="20"/>
              </w:rPr>
              <w:t xml:space="preserve"> — premature absorption into Walmart processes and systems slows engineering velocity and triggers cultural attrition</w:t>
            </w:r>
          </w:p>
        </w:tc>
        <w:tc>
          <w:tcPr>
            <w:tcW w:type="pct" w:w="11.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Medium–High</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Subsidiary operating model preserved through Year 1; integration limited to defined interfaces; IMO as single point of Walmart demand on DroneUp teams</w:t>
            </w:r>
          </w:p>
        </w:tc>
      </w:tr>
      <w:tr>
        <w:trPr>
          <w:cantSplit w:val="false"/>
        </w:trPr>
        <w:tc>
          <w:tcPr>
            <w:tcW w:type="pct" w:w="6.3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Partner-channel friction</w:t>
            </w:r>
            <w:r>
              <w:rPr>
                <w:color w:val="4b5563"/>
                <w:sz w:val="20"/>
                <w:szCs w:val="20"/>
              </w:rPr>
              <w:t xml:space="preserve"> — Wing and Zipline resist coordination through a Walmart-owned ATOMx layer, or deprioritize Walmart volume [F-1]</w:t>
            </w:r>
          </w:p>
        </w:tc>
        <w:tc>
          <w:tcPr>
            <w:tcW w:type="pct" w:w="11.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Medium</w:t>
            </w:r>
          </w:p>
        </w:tc>
        <w:tc>
          <w:tcPr>
            <w:tcW w:type="pct" w:w="40.9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Position ATOMx as vendor-neutral orchestration benefiting all operators; maintain both partnerships commercially through integration [F-1]; sequence orchestration pilot at low-stakes test sites first</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ea580c" w:sz="16"/>
              <w:bottom w:val="single" w:color="e8e8e8" w:sz="4"/>
              <w:right w:val="single" w:color="e8e8e8" w:sz="4"/>
            </w:tcBorders>
            <w:shd w:fill="fff7ed"/>
            <w:tcMar>
              <w:top w:type="dxa" w:w="200"/>
              <w:left w:type="dxa" w:w="250"/>
              <w:bottom w:type="dxa" w:w="200"/>
              <w:right w:type="dxa" w:w="250"/>
            </w:tcMar>
          </w:tcPr>
          <w:p>
            <w:pPr>
              <w:keepNext/>
              <w:keepLines/>
              <w:spacing w:after="120"/>
            </w:pPr>
            <w:r>
              <w:rPr>
                <w:b/>
                <w:bCs/>
                <w:color w:val="0a0a0a"/>
              </w:rPr>
              <w:t xml:space="preserve">⚠️  The Compound Risk to Watch</w:t>
            </w:r>
          </w:p>
          <w:p>
            <w:pPr>
              <w:spacing w:after="0"/>
            </w:pPr>
            <w:r>
              <w:rPr>
                <w:color w:val="4b5563"/>
                <w:sz w:val="20"/>
                <w:szCs w:val="20"/>
              </w:rPr>
              <w:t xml:space="preserve">Risks 1 and 2 are the same risk wearing two coats: the Part 135 certificate is held through people. If retention slips among named operational personnel, the regulatory asset degrades with them. The IMO tracks these two risks as a single combined indicator — retention of certificate-critical staff — reported weekly for the first 100 days.</w:t>
            </w:r>
          </w:p>
        </w:tc>
      </w:tr>
    </w:tbl>
    <w:p>
      <w:pPr>
        <w:spacing w:after="200"/>
      </w:pPr>
    </w:p>
    <w:p>
      <w:pPr>
        <w:pStyle w:val="Heading2"/>
        <w:keepNext/>
        <w:keepLines/>
        <w:spacing w:before="210" w:after="90" w:line="240"/>
        <w:rPr>
          <w:color w:val="0a0a0a"/>
        </w:rPr>
      </w:pPr>
      <w:bookmarkStart w:name="section_bf0e3d3a" w:id="1"/>
      <w:r>
        <w:rPr>
          <w:rFonts w:ascii="Inter" w:cs="Inter" w:eastAsia="Inter" w:hAnsi="Inter"/>
          <w:b/>
          <w:bCs/>
          <w:color w:val="0a0a0a"/>
          <w:spacing w:val="-8"/>
        </w:rPr>
        <w:t xml:space="preserve">9. Communications &amp; Change Management</w:t>
      </w:r>
      <w:bookmarkEnd w:id="1"/>
    </w:p>
    <w:p>
      <w:pPr>
        <w:spacing w:after="200" w:line="276"/>
      </w:pPr>
      <w:r>
        <w:t xml:space="preserve">The prior Walmart–DroneUp relationship ended publicly and painfully [F-1]; this transaction reverses that narrative, and communications must land it deliberately with each audience. One voice, one sequence, no surprises — every stakeholder hears the news from us before they read it elsewhere.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44"/>
        <w:gridCol w:w="3978"/>
        <w:gridCol w:w="2794"/>
        <w:gridCol w:w="1384"/>
      </w:tblGrid>
      <w:tr>
        <w:trPr>
          <w:tblHeader/>
        </w:trPr>
        <w:tc>
          <w:tcPr>
            <w:tcW w:type="pct" w:w="18.4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Audience</w:t>
            </w:r>
          </w:p>
        </w:tc>
        <w:tc>
          <w:tcPr>
            <w:tcW w:type="pct" w:w="39.7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Core Message</w:t>
            </w:r>
          </w:p>
        </w:tc>
        <w:tc>
          <w:tcPr>
            <w:tcW w:type="pct" w:w="27.9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Channel &amp; Owner</w:t>
            </w:r>
          </w:p>
        </w:tc>
        <w:tc>
          <w:tcPr>
            <w:tcW w:type="pct" w:w="13.8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Timing</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DroneUp employees (~291)</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"You are why we bought the company — subsidiary model, retention economics, mission continuity"</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Day-1 all-hands (DroneUp CEO + Walmart CSCO); manager cascades</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Day 1, then bi-weekly</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associates (DFW hub stores)</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What changes at my store (little), who to call, service continuity</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Store-ops liaison briefings; field leadership</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Day 1 week</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 &amp; regulators</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Ownership change with zero operational or safety-system disruption; continuity of named personnel [7]</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Regulatory &amp; Safety workstream single point of contact</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Pre-close + Day 1</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Wing &amp; Zipline</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Partnerships continue; ATOMx positioned as vendor-neutral coordination benefiting all operators [F-1]</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SVP-level partner reviews</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Close week, then quarterly</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DFW customers</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Same service, same app, improving reach</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In-app + local marketing</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Day 1 week</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States &amp; communities (TX, VA, AR)</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Investment continuity and jobs narrative — sensitive given prior Virginia commitments [2]</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Government affairs</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First 30 days</w:t>
            </w:r>
          </w:p>
        </w:tc>
      </w:tr>
      <w:tr>
        <w:trPr>
          <w:cantSplit w:val="false"/>
        </w:trPr>
        <w:tc>
          <w:tcPr>
            <w:tcW w:type="pct" w:w="18.4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Media &amp; investors</w:t>
            </w:r>
          </w:p>
        </w:tc>
        <w:tc>
          <w:tcPr>
            <w:tcW w:type="pct" w:w="39.7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Strategic logic: proprietary drone platform at disciplined value; earn-out-aligned structure</w:t>
            </w:r>
          </w:p>
        </w:tc>
        <w:tc>
          <w:tcPr>
            <w:tcW w:type="pct" w:w="27.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Corporate communications + IR</w:t>
            </w:r>
          </w:p>
        </w:tc>
        <w:tc>
          <w:tcPr>
            <w:tcW w:type="pct" w:w="13.8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Day 1</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ea580c" w:sz="16"/>
              <w:bottom w:val="single" w:color="e8e8e8" w:sz="4"/>
              <w:right w:val="single" w:color="e8e8e8" w:sz="4"/>
            </w:tcBorders>
            <w:shd w:fill="fff7ed"/>
            <w:tcMar>
              <w:top w:type="dxa" w:w="200"/>
              <w:left w:type="dxa" w:w="250"/>
              <w:bottom w:type="dxa" w:w="200"/>
              <w:right w:type="dxa" w:w="250"/>
            </w:tcMar>
          </w:tcPr>
          <w:p>
            <w:pPr>
              <w:keepNext/>
              <w:keepLines/>
              <w:spacing w:after="120"/>
            </w:pPr>
            <w:r>
              <w:rPr>
                <w:b/>
                <w:bCs/>
                <w:color w:val="0a0a0a"/>
              </w:rPr>
              <w:t xml:space="preserve">⚠️  Narrative Risk — Virginia Track Record</w:t>
            </w:r>
          </w:p>
          <w:p>
            <w:pPr>
              <w:spacing w:after="0"/>
            </w:pPr>
            <w:r>
              <w:rPr>
                <w:color w:val="4b5563"/>
                <w:sz w:val="20"/>
                <w:szCs w:val="20"/>
              </w:rPr>
              <w:t xml:space="preserve">Public reporting has documented DroneUp's missed Virginia employment commitments and terminated incentive arrangements [2]. Communications must not over-promise local job creation; the credible story is technology investment and network scaling, with employment claims kept conservative and verifiable.</w:t>
            </w:r>
          </w:p>
        </w:tc>
      </w:tr>
    </w:tbl>
    <w:p>
      <w:pPr>
        <w:spacing w:after="200"/>
      </w:pPr>
    </w:p>
    <w:p>
      <w:pPr>
        <w:pStyle w:val="Heading2"/>
        <w:keepNext/>
        <w:keepLines/>
        <w:spacing w:before="210" w:after="90" w:line="240"/>
        <w:rPr>
          <w:color w:val="0a0a0a"/>
        </w:rPr>
      </w:pPr>
      <w:bookmarkStart w:name="section_8947f1a7" w:id="1"/>
      <w:r>
        <w:rPr>
          <w:rFonts w:ascii="Inter" w:cs="Inter" w:eastAsia="Inter" w:hAnsi="Inter"/>
          <w:b/>
          <w:bCs/>
          <w:color w:val="0a0a0a"/>
          <w:spacing w:val="-8"/>
        </w:rPr>
        <w:t xml:space="preserve">10. Beyond Day 100 — Roadmap to Scale</w:t>
      </w:r>
      <w:bookmarkEnd w:id="1"/>
    </w:p>
    <w:p>
      <w:pPr>
        <w:spacing w:after="200" w:line="276"/>
      </w:pPr>
      <w:r>
        <w:t xml:space="preserve">The 100-day plan is the first gate of a 36-month value-creation arc aligned to the earn-out schedule [F-1]. Day 100 hands off a stabilized, instrumented business to a scaling program:</w:t>
      </w:r>
    </w:p>
    <w:tbl>
      <w:tblPr>
        <w:tblW w:type="pct" w:w="100%"/>
        <w:tblBorders>
          <w:top w:val="none" w:sz="0"/>
          <w:left w:val="none" w:sz="0"/>
          <w:bottom w:val="none" w:sz="0"/>
          <w:right w:val="none" w:sz="0"/>
          <w:insideH w:val="none" w:sz="0"/>
          <w:insideV w:val="none" w:sz="0"/>
        </w:tblBorders>
        <w:tblLayout w:type="fixed"/>
      </w:tblPr>
      <w:tblGrid>
        <w:gridCol w:w="500"/>
        <w:gridCol w:w="9500"/>
      </w:tblGrid>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DAYS 1–100</w:t>
            </w:r>
          </w:p>
          <w:p>
            <w:pPr>
              <w:keepNext/>
              <w:spacing w:after="80"/>
            </w:pPr>
            <w:r>
              <w:rPr>
                <w:b/>
                <w:bCs/>
                <w:color w:val="1a202c"/>
                <w:sz w:val="22"/>
                <w:szCs w:val="22"/>
              </w:rPr>
              <w:t xml:space="preserve">🛡️ Protect &amp; Prove</w:t>
            </w:r>
          </w:p>
          <w:p>
            <w:pPr>
              <w:spacing w:after="80"/>
            </w:pPr>
            <w:r>
              <w:rPr>
                <w:color w:val="4a5568"/>
                <w:sz w:val="18"/>
                <w:szCs w:val="18"/>
              </w:rPr>
              <w:t xml:space="preserve">This plan: flight continuity, certificate protection, ≥90% key-talent retention, ATOMx 3-operator pilot, first 5 hub build-outs, synergy register live</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MONTHS 4–6</w:t>
            </w:r>
          </w:p>
          <w:p>
            <w:pPr>
              <w:keepNext/>
              <w:spacing w:after="80"/>
            </w:pPr>
            <w:r>
              <w:rPr>
                <w:b/>
                <w:bCs/>
                <w:color w:val="1a202c"/>
                <w:sz w:val="22"/>
                <w:szCs w:val="22"/>
              </w:rPr>
              <w:t xml:space="preserve">✅ Stabilization Complete</w:t>
            </w:r>
          </w:p>
          <w:p>
            <w:pPr>
              <w:spacing w:after="80"/>
            </w:pPr>
            <w:r>
              <w:rPr>
                <w:color w:val="4a5568"/>
                <w:sz w:val="18"/>
                <w:szCs w:val="18"/>
              </w:rPr>
              <w:t xml:space="preserve">M:N operations validated in DFW; integration architecture in production; retention risk downgraded; TSA exits complete</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MONTHS 7–18</w:t>
            </w:r>
          </w:p>
          <w:p>
            <w:pPr>
              <w:keepNext/>
              <w:spacing w:after="80"/>
            </w:pPr>
            <w:r>
              <w:rPr>
                <w:b/>
                <w:bCs/>
                <w:color w:val="1a202c"/>
                <w:sz w:val="22"/>
                <w:szCs w:val="22"/>
              </w:rPr>
              <w:t xml:space="preserve">🔗 Platform Integration</w:t>
            </w:r>
          </w:p>
          <w:p>
            <w:pPr>
              <w:spacing w:after="80"/>
            </w:pPr>
            <w:r>
              <w:rPr>
                <w:color w:val="4a5568"/>
                <w:sz w:val="18"/>
                <w:szCs w:val="18"/>
              </w:rPr>
              <w:t xml:space="preserve">ATOMx deployed as coordination layer across all Walmart drone partners; DBX at 10–20 pilot stores; sub-$10/delivery earn-out gate (Month 18) [F-1]</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MONTHS 19–36</w:t>
            </w:r>
          </w:p>
          <w:p>
            <w:pPr>
              <w:keepNext/>
              <w:spacing w:after="80"/>
            </w:pPr>
            <w:r>
              <w:rPr>
                <w:b/>
                <w:bCs/>
                <w:color w:val="1a202c"/>
                <w:sz w:val="22"/>
                <w:szCs w:val="22"/>
              </w:rPr>
              <w:t xml:space="preserve">📈 Network Scaling</w:t>
            </w:r>
          </w:p>
          <w:p>
            <w:pPr>
              <w:spacing w:after="80"/>
            </w:pPr>
            <w:r>
              <w:rPr>
                <w:color w:val="4a5568"/>
                <w:sz w:val="18"/>
                <w:szCs w:val="18"/>
              </w:rPr>
              <w:t xml:space="preserve">50+ Walmart locations on DroneUp technology; sub-$7/delivery earn-out gate (Month 36); Part 108-enabled BVLOS expansion; drone hardware strategy decision (build vs. partner) [F-1]</w:t>
            </w:r>
          </w:p>
        </w:tc>
      </w:tr>
    </w:tbl>
    <w:p>
      <w:pPr>
        <w:spacing w:after="300"/>
      </w:pPr>
    </w:p>
    <w:p>
      <w:pPr>
        <w:spacing w:after="200" w:line="276"/>
      </w:pPr>
      <w:r>
        <w:t xml:space="preserve">The end state is the hybrid ecosystem described in the strategic fit analysis [F-1]: Walmart-owned ATOMx orchestrating a multi-operator network (DroneUp proprietary + Wing + Zipline), DBX ground infrastructure at high-demand supercenters, and a cost curve at parity with ground delivery — proprietary control where it matters, partner flexibility where it helps.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Definition of Day-100 Success</w:t>
            </w:r>
          </w:p>
          <w:p>
            <w:pPr>
              <w:spacing w:after="0"/>
            </w:pPr>
            <w:r>
              <w:rPr>
                <w:color w:val="4b5563"/>
                <w:sz w:val="20"/>
                <w:szCs w:val="20"/>
              </w:rPr>
              <w:t xml:space="preserve">DFW never stopped flying · the certificate never wobbled · ≥90% of key talent retained · ATOMx coordinating three operators at two sites · first five new supercenter hubs under construction · synergy register fully owner-assigned with the first report issued. If all six hold, the integration is on thesis and the Board gate opens the scaling phase.</w:t>
            </w:r>
          </w:p>
        </w:tc>
      </w:tr>
    </w:tbl>
    <w:p>
      <w:pPr>
        <w:spacing w:after="200"/>
      </w:pP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 Id="rId12" Type="http://schemas.openxmlformats.org/officeDocument/2006/relationships/image" Target="media/215e410499a2cbcf80325cafbc7380b4952c212e.jpeg"/><Relationship Id="rId13" Type="http://schemas.openxmlformats.org/officeDocument/2006/relationships/image" Target="media/0d6330377d395805be6a782b2e5e36cf16f385ea.png"/><Relationship Id="rIdd-n1qxyorzih_rtwcfivg" Type="http://schemas.openxmlformats.org/officeDocument/2006/relationships/hyperlink" Target="/share/y3Zfxg6nNLd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