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ContentType="image/jpeg" Extension="jpeg"/>
  <Default ContentType="image/jpeg" Extension="jpg"/>
  <Default ContentType="image/bmp" Extension="bmp"/>
  <Default ContentType="image/gif" Extension="gif"/>
  <Default ContentType="image/svg+xml" Extension="sv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 w15">
  <w:body>
    <w:p>
      <w:pPr>
        <w:shd w:fill="1f2937" w:color="auto" w:val="clear"/>
        <w:spacing w:before="0" w:after="0" w:line="240" w:lineRule="exact"/>
      </w:pPr>
      <w:r>
        <w:drawing>
          <wp:anchor distT="0" distB="0" distL="0" distR="0" simplePos="0" allowOverlap="1" behindDoc="0" locked="0" layoutInCell="0" relativeHeight="657225">
            <wp:simplePos x="0" y="0"/>
            <wp:positionH relativeFrom="page">
              <wp:posOffset>818515</wp:posOffset>
            </wp:positionH>
            <wp:positionV relativeFrom="page">
              <wp:posOffset>972185</wp:posOffset>
            </wp:positionV>
            <wp:extent cx="657225" cy="65722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57225"/>
                    </a:xfrm>
                    <a:prstGeom prst="roundRect">
                      <a:avLst>
                        <a:gd name="adj" fmla="val 5000"/>
                      </a:avLst>
                    </a:prstGeom>
                  </pic:spPr>
                </pic:pic>
              </a:graphicData>
            </a:graphic>
          </wp:anchor>
        </w:drawing>
      </w:r>
    </w:p>
    <w:tbl>
      <w:tblPr>
        <w:tblW w:type="dxa" w:w="11906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906"/>
      </w:tblGrid>
      <w:tr>
        <w:trPr>
          <w:trHeight w:val="16443" w:hRule="exact"/>
        </w:trPr>
        <w:tc>
          <w:tcPr>
            <w:tcW w:type="dxa" w:w="11906"/>
            <w:tcBorders>
              <w:top w:val="nil"/>
              <w:left w:val="nil"/>
              <w:bottom w:val="nil"/>
              <w:right w:val="nil"/>
            </w:tcBorders>
            <w:shd w:fill="1f2937" w:color="auto" w:val="clear"/>
            <w:tcMar>
              <w:top w:type="dxa" w:w="0"/>
              <w:left w:type="dxa" w:w="1289"/>
              <w:bottom w:type="dxa" w:w="0"/>
              <w:right w:type="dxa" w:w="1289"/>
            </w:tcMar>
            <w:vAlign w:val="center"/>
          </w:tcPr>
          <w:p>
            <w:pPr>
              <w:pStyle w:val="Title"/>
              <w:keepNext/>
              <w:keepLines/>
              <w:spacing w:after="400"/>
              <w:jc w:val="left"/>
              <w:rPr>
                <w:color w:val="ffffff"/>
              </w:rPr>
            </w:pPr>
            <w:r>
              <w:rPr>
                <w:rFonts w:ascii="Tahoma" w:cs="Tahoma" w:eastAsia="Tahoma" w:hAnsi="Tahoma"/>
                <w:b/>
                <w:bCs/>
                <w:color w:val="ffffff"/>
                <w:spacing w:val="-18"/>
                <w:sz w:val="59"/>
                <w:szCs w:val="59"/>
              </w:rPr>
              <w:t xml:space="preserve">DroneUp Acquisition — Valuation &amp; Synergy Model</w:t>
            </w:r>
          </w:p>
          <w:p>
            <w:pPr>
              <w:keepNext/>
              <w:keepLines/>
              <w:spacing w:after="200"/>
              <w:jc w:val="left"/>
              <w:rPr>
                <w:color w:val="ffffff"/>
              </w:rPr>
            </w:pPr>
            <w:r>
              <w:rPr>
                <w:rFonts w:ascii="Tahoma" w:cs="Tahoma" w:eastAsia="Tahoma" w:hAnsi="Tahoma"/>
                <w:b/>
                <w:bCs/>
                <w:color w:val="ffffff"/>
                <w:sz w:val="34"/>
                <w:szCs w:val="34"/>
              </w:rPr>
              <w:t xml:space="preserve">Illustrative Deal Model — Companion to the DroneUp Strategic Fit Analysis</w:t>
            </w:r>
          </w:p>
          <w:p>
            <w:pPr>
              <w:spacing w:after="20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19"/>
                <w:szCs w:val="19"/>
              </w:rPr>
              <w:t xml:space="preserve">Author:</w:t>
            </w:r>
            <w:r>
              <w:rPr>
                <w:rFonts w:ascii="Inter" w:cs="Inter" w:eastAsia="Inter" w:hAnsi="Inter"/>
                <w:color w:val="d2d4d7"/>
                <w:sz w:val="19"/>
                <w:szCs w:val="19"/>
              </w:rPr>
              <w:t xml:space="preserve"> Walmart Corporate Development
</w:t>
            </w:r>
            <w:r>
              <w:rPr>
                <w:rFonts w:ascii="Inter" w:cs="Inter" w:eastAsia="Inter" w:hAnsi="Inter"/>
                <w:b/>
                <w:bCs/>
                <w:color w:val="ffffff"/>
                <w:sz w:val="19"/>
                <w:szCs w:val="19"/>
              </w:rPr>
              <w:t xml:space="preserve">Date:</w:t>
            </w:r>
            <w:r>
              <w:rPr>
                <w:rFonts w:ascii="Inter" w:cs="Inter" w:eastAsia="Inter" w:hAnsi="Inter"/>
                <w:color w:val="d2d4d7"/>
                <w:sz w:val="19"/>
                <w:szCs w:val="19"/>
              </w:rPr>
              <w:t xml:space="preserve"> August 2026</w:t>
            </w:r>
          </w:p>
        </w:tc>
      </w:tr>
      <w:tr>
        <w:trPr>
          <w:trHeight w:val="155" w:hRule="exact"/>
        </w:trPr>
        <w:tc>
          <w:tcPr>
            <w:tcW w:type="dxa" w:w="11906"/>
            <w:tcBorders>
              <w:top w:val="nil"/>
              <w:left w:val="nil"/>
              <w:bottom w:val="nil"/>
              <w:right w:val="nil"/>
            </w:tcBorders>
            <w:shd w:fill="3b82f6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before="0" w:after="0" w:line="1"/>
            </w:pPr>
            <w:r>
              <w:rPr>
                <w:sz w:val="2"/>
                <w:szCs w:val="2"/>
              </w:rPr>
              <w:t xml:space="preserve"/>
            </w:r>
          </w:p>
        </w:tc>
      </w:tr>
    </w:tbl>
    <w:p>
      <w:pPr>
        <w:sectPr>
          <w:pgSz w:w="11906" w:h="16838" w:orient="portrait"/>
          <w:pgMar w:top="0" w:right="0" w:bottom="0" w:left="0" w:header="0" w:footer="0" w:gutter="0"/>
          <w:pgNumType/>
          <w:docGrid w:linePitch="360"/>
        </w:sectPr>
      </w:pPr>
    </w:p>
    <w:p>
      <w:pPr>
        <w:pStyle w:val="Heading2"/>
        <w:keepNext/>
        <w:keepLines/>
        <w:spacing w:before="210" w:after="90" w:line="240"/>
        <w:rPr>
          <w:color w:val="0a0a0a"/>
        </w:rPr>
      </w:pPr>
      <w:bookmarkStart w:name="section_83443e7a" w:id="1"/>
      <w:r>
        <w:rPr>
          <w:rFonts w:ascii="Inter" w:cs="Inter" w:eastAsia="Inter" w:hAnsi="Inter"/>
          <w:b/>
          <w:bCs/>
          <w:color w:val="0a0a0a"/>
          <w:spacing w:val="-8"/>
        </w:rPr>
        <w:t xml:space="preserve">Model Overview &amp; Key Takeaways</w:t>
      </w:r>
      <w:bookmarkEnd w:id="1"/>
    </w:p>
    <w:p>
      <w:pPr>
        <w:spacing w:after="200" w:line="276"/>
      </w:pPr>
      <w:r>
        <w:t xml:space="preserve">This document is the cover page for the live workbook on the </w:t>
      </w:r>
      <w:r>
        <w:rPr>
          <w:b/>
          <w:bCs/>
        </w:rPr>
        <w:t xml:space="preserve">Spreadsheet tab</w:t>
      </w:r>
      <w:r>
        <w:t xml:space="preserve">. The model quantifies an illustrative acquisition of DroneUp by Walmart, building on the strategic thesis in the </w:t>
      </w:r>
      <w:hyperlink w:history="1" r:id="rIdtcdztgvhhcbo09twbcwsv">
        <w:r>
          <w:rPr>
            <w:rStyle w:val="Hyperlink"/>
          </w:rPr>
          <w:t xml:space="preserve">DroneUp Company Profile: Strategic Fit Analysis for Walmart</w:t>
        </w:r>
      </w:hyperlink>
      <w:r>
        <w:t xml:space="preserve"> [F-1]. The workbook contains four linked sheets — </w:t>
      </w:r>
      <w:r>
        <w:rPr>
          <w:b/>
          <w:bCs/>
        </w:rPr>
        <w:t xml:space="preserve">Assumptions</w:t>
      </w:r>
      <w:r>
        <w:t xml:space="preserve"> (all inputs: $225M base purchase price within the $150–300M range, 8.5% WACC, hub rollout, cost glide path, synergy run-rates), </w:t>
      </w:r>
      <w:r>
        <w:rPr>
          <w:b/>
          <w:bCs/>
        </w:rPr>
        <w:t xml:space="preserve">5-Year Model</w:t>
      </w:r>
      <w:r>
        <w:t xml:space="preserve"> (2026–2030 revenue build, EBITDA bridge, unlevered FCF), </w:t>
      </w:r>
      <w:r>
        <w:rPr>
          <w:b/>
          <w:bCs/>
        </w:rPr>
        <w:t xml:space="preserve">Synergies</w:t>
      </w:r>
      <w:r>
        <w:t xml:space="preserve"> (five categories on a 25/50/75/100% ramp), and </w:t>
      </w:r>
      <w:r>
        <w:rPr>
          <w:b/>
          <w:bCs/>
        </w:rPr>
        <w:t xml:space="preserve">Valuation</w:t>
      </w:r>
      <w:r>
        <w:t xml:space="preserve"> (DCF plus comparable-company table and implied range).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single" w:color="e8e8e8" w:sz="4"/>
              <w:left w:val="single" w:color="2563eb" w:sz="16"/>
              <w:bottom w:val="single" w:color="e8e8e8" w:sz="4"/>
              <w:right w:val="single" w:color="e8e8e8" w:sz="4"/>
            </w:tcBorders>
            <w:shd w:fill="f0f5ff"/>
            <w:tcMar>
              <w:top w:type="dxa" w:w="200"/>
              <w:left w:type="dxa" w:w="250"/>
              <w:bottom w:type="dxa" w:w="200"/>
              <w:right w:type="dxa" w:w="250"/>
            </w:tcMar>
          </w:tcPr>
          <w:p>
            <w:pPr>
              <w:keepNext/>
              <w:keepLines/>
              <w:spacing w:after="120"/>
            </w:pPr>
            <w:r>
              <w:rPr>
                <w:b/>
                <w:bCs/>
                <w:color w:val="0a0a0a"/>
              </w:rPr>
              <w:t xml:space="preserve">💭  All Figures Illustrative</w:t>
            </w:r>
          </w:p>
          <w:p>
            <w:pPr>
              <w:spacing w:after="0"/>
            </w:pPr>
            <w:r>
              <w:rPr>
                <w:color w:val="4b5563"/>
                <w:sz w:val="20"/>
                <w:szCs w:val="20"/>
              </w:rPr>
              <w:t xml:space="preserve">Every figure in this model is illustrative and intended for structural discussion only — not a formal valuation opinion. Input cells (amber-highlighted in the workbook) are editable and cascade through all 355 live formulas. Base assumptions derive from the DroneUp strategic fit profile [F-1].</w:t>
            </w:r>
          </w:p>
        </w:tc>
      </w:tr>
    </w:tbl>
    <w:p>
      <w:pPr>
        <w:spacing w:after="200"/>
      </w:pPr>
    </w:p>
    <w:p>
      <w:pPr>
        <w:keepNext/>
        <w:keepLines/>
        <w:spacing w:after="200" w:line="276"/>
      </w:pPr>
      <w:r>
        <w:rPr>
          <w:b/>
          <w:bCs/>
        </w:rPr>
        <w:t xml:space="preserve">Key takeaways: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r>
        <w:rPr>
          <w:b/>
          <w:bCs/>
        </w:rPr>
        <w:t xml:space="preserve">The deal is a synergy story, not a standalone one.</w:t>
      </w:r>
      <w:r>
        <w:t xml:space="preserve"> On standalone economics DroneUp never covers Walmart-scale overhead and hub buildout capex within the horizon (2030 EBITDA of just $15.0M on $77.5M revenue); the standalone DCF is negative, so essentially all deal value depends on Walmart-specific synergies [F-1].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r>
        <w:rPr>
          <w:b/>
          <w:bCs/>
        </w:rPr>
        <w:t xml:space="preserve">Synergies reach a ~$137.5M pre-tax run-rate by 2030</w:t>
      </w:r>
      <w:r>
        <w:t xml:space="preserve"> across five categories — M:N pilot-labor savings ($45M), DBX ground-ops automation ($20M), avoided Wing/Zipline third-party fees ($17.5M, formula-driven off shifted volume), pharmacy/healthcare delivery ($30M), and incremental basket/membership ($25M) — totaling </w:t>
      </w:r>
      <w:r>
        <w:rPr>
          <w:b/>
          <w:bCs/>
        </w:rPr>
        <w:t xml:space="preserve">$450.3M cumulative</w:t>
      </w:r>
      <w:r>
        <w:t xml:space="preserve"> over 2026–2030 [F-1].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r>
        <w:rPr>
          <w:b/>
          <w:bCs/>
        </w:rPr>
        <w:t xml:space="preserve">The with-synergies DCF implies ~$1.08B of enterprise value versus a $225M base purchase price</w:t>
      </w:r>
      <w:r>
        <w:t xml:space="preserve"> — roughly </w:t>
      </w:r>
      <w:r>
        <w:rPr>
          <w:b/>
          <w:bCs/>
        </w:rPr>
        <w:t xml:space="preserve">+$854M of illustrative value creation</w:t>
      </w:r>
      <w:r>
        <w:t xml:space="preserve"> — which is the core thesis: the $150–300M ask prices DroneUp on its distressed standalone position, while Walmart uniquely monetizes the ATOMx/Uncrew platform, Part 135 certification, and 20,000-pilot network [F-1].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r>
        <w:rPr>
          <w:b/>
          <w:bCs/>
        </w:rPr>
        <w:t xml:space="preserve">The revenue build follows the profile's operating logic:</w:t>
      </w:r>
      <w:r>
        <w:t xml:space="preserve"> hubs scale 15 → 270 (2026–2030) aligned to Walmart's 270+ drone-location target, deliveries/hub/day ramp 20 → 60 as BVLOS and M:N operations mature, and cost per delivery glides from the historical ~$30 to $5.50 — below the sub-$7 target that broke the original partnership [F-1].</w:t>
      </w:r>
    </w:p>
    <w:p>
      <w:pPr>
        <w:pStyle w:val="ListParagraph"/>
        <w:numPr>
          <w:ilvl w:val="0"/>
          <w:numId w:val="1"/>
        </w:numPr>
        <w:spacing w:after="200" w:line="276"/>
        <w:ind w:left="520" w:hanging="360"/>
      </w:pPr>
      <w:r>
        <w:rPr>
          <w:b/>
          <w:bCs/>
        </w:rPr>
        <w:t xml:space="preserve">Read the outputs with two caveats flagged in the workbook:</w:t>
      </w:r>
      <w:r>
        <w:t xml:space="preserve"> terminal value (with normalized maintenance capex) drives ~99% of the with-synergies EV, and the comps table (Zipline ~$7.6B; Matternet $200–350M; Flytrex $200–400M; A2Z $50–150M) implies a rich 17.0x–34.1x EV/2024-revenue on DroneUp's ~$8.8M base — sensible only because value rests on strategic assets, not current revenue [F-1].</w:t>
      </w:r>
    </w:p>
    <w:p>
      <w:pPr>
        <w:spacing w:after="200" w:line="276"/>
      </w:pPr>
      <w:r>
        <w:rPr>
          <w:i/>
          <w:iCs/>
        </w:rPr>
        <w:t xml:space="preserve">See the </w:t>
      </w:r>
      <w:r>
        <w:rPr>
          <w:b/>
          <w:bCs/>
          <w:i/>
          <w:iCs/>
        </w:rPr>
        <w:t xml:space="preserve">Spreadsheet tab</w:t>
      </w:r>
      <w:r>
        <w:rPr>
          <w:i/>
          <w:iCs/>
        </w:rPr>
        <w:t xml:space="preserve"> for the live model with editable assumptions; use </w:t>
      </w:r>
      <w:r>
        <w:rPr>
          <w:b/>
          <w:bCs/>
          <w:i/>
          <w:iCs/>
        </w:rPr>
        <w:t xml:space="preserve">Download .xlsx</w:t>
      </w:r>
      <w:r>
        <w:rPr>
          <w:i/>
          <w:iCs/>
        </w:rPr>
        <w:t xml:space="preserve"> to export it for Excel.</w:t>
      </w:r>
    </w:p>
    <w:sectPr w:rsidR="0021101C" w:rsidRPr="00E3001C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3F52" w14:textId="77777777" w:rsidR="00192FE9" w:rsidRDefault="00192FE9" w:rsidP="00CD6A9C">
      <w:r>
        <w:separator/>
      </w:r>
    </w:p>
  </w:endnote>
  <w:endnote w:type="continuationSeparator" w:id="0">
    <w:p w14:paraId="1494511E" w14:textId="77777777" w:rsidR="00192FE9" w:rsidRDefault="00192FE9" w:rsidP="00CD6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F1082" w14:textId="10C61C93" w:rsidR="00CD6A9C" w:rsidRPr="00CD6A9C" w:rsidRDefault="00CD6A9C" w:rsidP="00CD6A9C">
    <w:pPr>
      <w:pStyle w:val="Footer"/>
      <w:jc w:val="center"/>
      <w:rPr>
        <w:rFonts w:asciiTheme="minorHAnsi" w:hAnsiTheme="minorHAnsi"/>
        <w:sz w:val="16"/>
        <w:szCs w:val="16"/>
      </w:rPr>
    </w:pPr>
    <w:r w:rsidRPr="00CD6A9C">
      <w:rPr>
        <w:rFonts w:asciiTheme="minorHAnsi" w:hAnsiTheme="minorHAnsi"/>
        <w:b/>
        <w:bCs/>
        <w:noProof/>
        <w:color w:val="F7CA35"/>
        <w:sz w:val="72"/>
        <w:szCs w:val="72"/>
      </w:rPr>
      <w:drawing>
        <wp:anchor distT="0" distB="0" distL="114300" distR="114300" simplePos="0" relativeHeight="251661312" behindDoc="1" locked="0" layoutInCell="1" allowOverlap="1" wp14:anchorId="5AE85788" wp14:editId="4142B06D">
          <wp:simplePos x="0" y="0"/>
          <wp:positionH relativeFrom="column">
            <wp:posOffset>-1107831</wp:posOffset>
          </wp:positionH>
          <wp:positionV relativeFrom="paragraph">
            <wp:posOffset>0</wp:posOffset>
          </wp:positionV>
          <wp:extent cx="4992856" cy="767570"/>
          <wp:effectExtent l="0" t="0" r="0" b="0"/>
          <wp:wrapNone/>
          <wp:docPr id="835690356" name="Picture 9">
            <a:extLst xmlns:a="http://schemas.openxmlformats.org/drawingml/2006/main">
              <a:ext uri="{FF2B5EF4-FFF2-40B4-BE49-F238E27FC236}">
                <a16:creationId xmlns:a16="http://schemas.microsoft.com/office/drawing/2014/main" id="{240399B0-F11E-C915-BEC2-32C4609530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240399B0-F11E-C915-BEC2-32C4609530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rot="10800000" flipH="1">
                    <a:off x="0" y="0"/>
                    <a:ext cx="4992856" cy="76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A9C">
      <w:rPr>
        <w:rFonts w:asciiTheme="minorHAnsi" w:hAnsiTheme="minorHAnsi"/>
        <w:b/>
        <w:bCs/>
        <w:sz w:val="15"/>
        <w:szCs w:val="15"/>
      </w:rPr>
      <w:t>Corp</w:t>
    </w:r>
    <w:r w:rsidRPr="00CD6A9C">
      <w:rPr>
        <w:rFonts w:asciiTheme="minorHAnsi" w:hAnsiTheme="minorHAnsi"/>
        <w:sz w:val="15"/>
        <w:szCs w:val="15"/>
      </w:rPr>
      <w:t>Dev.Ai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47F9B" w14:textId="77777777" w:rsidR="00192FE9" w:rsidRDefault="00192FE9" w:rsidP="00CD6A9C">
      <w:r>
        <w:separator/>
      </w:r>
    </w:p>
  </w:footnote>
  <w:footnote w:type="continuationSeparator" w:id="0">
    <w:p w14:paraId="72AD68B1" w14:textId="77777777" w:rsidR="00192FE9" w:rsidRDefault="00192FE9" w:rsidP="00CD6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5C253" w14:textId="526711E9" w:rsidR="00CD6A9C" w:rsidRDefault="00CD6A9C">
    <w:pPr>
      <w:pStyle w:val="Header"/>
    </w:pPr>
    <w:r w:rsidRPr="00B26528">
      <w:rPr>
        <w:b/>
        <w:bCs/>
        <w:noProof/>
        <w:color w:val="F7CA35"/>
        <w:sz w:val="96"/>
        <w:szCs w:val="96"/>
      </w:rPr>
      <w:drawing>
        <wp:anchor distT="0" distB="0" distL="114300" distR="114300" simplePos="0" relativeHeight="251659264" behindDoc="1" locked="0" layoutInCell="1" allowOverlap="1" wp14:anchorId="763B784D" wp14:editId="6D88422B">
          <wp:simplePos x="0" y="0"/>
          <wp:positionH relativeFrom="column">
            <wp:posOffset>2435225</wp:posOffset>
          </wp:positionH>
          <wp:positionV relativeFrom="paragraph">
            <wp:posOffset>-447040</wp:posOffset>
          </wp:positionV>
          <wp:extent cx="4992856" cy="767570"/>
          <wp:effectExtent l="0" t="0" r="0" b="0"/>
          <wp:wrapNone/>
          <wp:docPr id="313683058" name="Picture 9">
            <a:extLst xmlns:a="http://schemas.openxmlformats.org/drawingml/2006/main">
              <a:ext uri="{FF2B5EF4-FFF2-40B4-BE49-F238E27FC236}">
                <a16:creationId xmlns:a16="http://schemas.microsoft.com/office/drawing/2014/main" id="{240399B0-F11E-C915-BEC2-32C4609530C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>
                    <a:extLst>
                      <a:ext uri="{FF2B5EF4-FFF2-40B4-BE49-F238E27FC236}">
                        <a16:creationId xmlns:a16="http://schemas.microsoft.com/office/drawing/2014/main" id="{240399B0-F11E-C915-BEC2-32C4609530C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email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 flipH="1">
                    <a:off x="0" y="0"/>
                    <a:ext cx="4992856" cy="76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2BC0C" w14:textId="77777777" w:rsidR="00CD6A9C" w:rsidRDefault="00CD6A9C">
    <w:pPr>
      <w:pStyle w:val="Header"/>
    </w:pPr>
  </w:p>
  <w:p w14:paraId="115101E7" w14:textId="32ED7218" w:rsidR="00CD6A9C" w:rsidRDefault="00CD6A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61EEE"/>
    <w:multiLevelType w:val="hybridMultilevel"/>
    <w:tmpl w:val="A570568C"/>
    <w:lvl w:ilvl="0" w:tplc="9DDA2706">
      <w:start w:val="1"/>
      <w:numFmt w:val="bullet"/>
      <w:lvlText w:val="•"/>
      <w:lvlJc w:val="left"/>
      <w:pPr>
        <w:ind w:left="72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1" w:tplc="7CD0CD52">
      <w:start w:val="1"/>
      <w:numFmt w:val="bullet"/>
      <w:lvlText w:val="◦"/>
      <w:lvlJc w:val="left"/>
      <w:pPr>
        <w:ind w:left="144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2" w:tplc="7108A202">
      <w:start w:val="1"/>
      <w:numFmt w:val="bullet"/>
      <w:lvlText w:val="▪"/>
      <w:lvlJc w:val="left"/>
      <w:pPr>
        <w:ind w:left="216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3" w:tplc="8E14275E">
      <w:start w:val="1"/>
      <w:numFmt w:val="bullet"/>
      <w:lvlText w:val="•"/>
      <w:lvlJc w:val="left"/>
      <w:pPr>
        <w:ind w:left="288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4" w:tplc="C37CE196">
      <w:start w:val="1"/>
      <w:numFmt w:val="bullet"/>
      <w:lvlText w:val="◦"/>
      <w:lvlJc w:val="left"/>
      <w:pPr>
        <w:ind w:left="360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5" w:tplc="F78EA62E">
      <w:start w:val="1"/>
      <w:numFmt w:val="bullet"/>
      <w:lvlText w:val="▪"/>
      <w:lvlJc w:val="left"/>
      <w:pPr>
        <w:ind w:left="432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6" w:tplc="D60293DC">
      <w:start w:val="1"/>
      <w:numFmt w:val="bullet"/>
      <w:lvlText w:val="•"/>
      <w:lvlJc w:val="left"/>
      <w:pPr>
        <w:ind w:left="504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7" w:tplc="CF3497C8">
      <w:start w:val="1"/>
      <w:numFmt w:val="bullet"/>
      <w:lvlText w:val="•"/>
      <w:lvlJc w:val="left"/>
      <w:pPr>
        <w:ind w:left="5760" w:hanging="360"/>
      </w:pPr>
      <w:rPr>
        <w:rFonts w:ascii="Inter" w:eastAsia="Inter" w:hAnsi="Inter" w:cs="Inter"/>
        <w:b w:val="0"/>
        <w:bCs w:val="0"/>
        <w:sz w:val="20"/>
        <w:szCs w:val="20"/>
      </w:rPr>
    </w:lvl>
    <w:lvl w:ilvl="8" w:tplc="4D563ECC">
      <w:start w:val="1"/>
      <w:numFmt w:val="bullet"/>
      <w:lvlText w:val="•"/>
      <w:lvlJc w:val="left"/>
      <w:pPr>
        <w:ind w:left="6480" w:hanging="360"/>
      </w:pPr>
      <w:rPr>
        <w:rFonts w:ascii="Inter" w:eastAsia="Inter" w:hAnsi="Inter" w:cs="Inter"/>
        <w:b w:val="0"/>
        <w:bCs w:val="0"/>
        <w:sz w:val="20"/>
        <w:szCs w:val="20"/>
      </w:rPr>
    </w:lvl>
  </w:abstractNum>
  <w:abstractNum w:abstractNumId="1" w15:restartNumberingAfterBreak="0">
    <w:nsid w:val="1B861283"/>
    <w:multiLevelType w:val="hybridMultilevel"/>
    <w:tmpl w:val="ACFE1F22"/>
    <w:lvl w:ilvl="0" w:tplc="E4C628CE">
      <w:start w:val="1"/>
      <w:numFmt w:val="decimal"/>
      <w:lvlText w:val="%1."/>
      <w:lvlJc w:val="left"/>
      <w:pPr>
        <w:ind w:left="720"/>
      </w:pPr>
    </w:lvl>
    <w:lvl w:ilvl="1" w:tplc="BCD60AA0">
      <w:numFmt w:val="decimal"/>
      <w:lvlText w:val=""/>
      <w:lvlJc w:val="left"/>
    </w:lvl>
    <w:lvl w:ilvl="2" w:tplc="F4E45F16">
      <w:numFmt w:val="decimal"/>
      <w:lvlText w:val=""/>
      <w:lvlJc w:val="left"/>
    </w:lvl>
    <w:lvl w:ilvl="3" w:tplc="45CE3CA8">
      <w:numFmt w:val="decimal"/>
      <w:lvlText w:val=""/>
      <w:lvlJc w:val="left"/>
    </w:lvl>
    <w:lvl w:ilvl="4" w:tplc="76AC0F12">
      <w:numFmt w:val="decimal"/>
      <w:lvlText w:val=""/>
      <w:lvlJc w:val="left"/>
    </w:lvl>
    <w:lvl w:ilvl="5" w:tplc="81761A3A">
      <w:numFmt w:val="decimal"/>
      <w:lvlText w:val=""/>
      <w:lvlJc w:val="left"/>
    </w:lvl>
    <w:lvl w:ilvl="6" w:tplc="992814C4">
      <w:numFmt w:val="decimal"/>
      <w:lvlText w:val=""/>
      <w:lvlJc w:val="left"/>
    </w:lvl>
    <w:lvl w:ilvl="7" w:tplc="014658C6">
      <w:numFmt w:val="decimal"/>
      <w:lvlText w:val=""/>
      <w:lvlJc w:val="left"/>
    </w:lvl>
    <w:lvl w:ilvl="8" w:tplc="2A402E64">
      <w:numFmt w:val="decimal"/>
      <w:lvlText w:val=""/>
      <w:lvlJc w:val="left"/>
    </w:lvl>
  </w:abstractNum>
  <w:abstractNum w:abstractNumId="2" w15:restartNumberingAfterBreak="0">
    <w:nsid w:val="21AC73C3"/>
    <w:multiLevelType w:val="hybridMultilevel"/>
    <w:tmpl w:val="BBF07EF8"/>
    <w:lvl w:ilvl="0" w:tplc="711845C4">
      <w:start w:val="1"/>
      <w:numFmt w:val="decimal"/>
      <w:lvlText w:val="%1."/>
      <w:lvlJc w:val="left"/>
      <w:pPr>
        <w:ind w:left="720"/>
      </w:pPr>
    </w:lvl>
    <w:lvl w:ilvl="1" w:tplc="053C2BA0">
      <w:numFmt w:val="decimal"/>
      <w:lvlText w:val=""/>
      <w:lvlJc w:val="left"/>
    </w:lvl>
    <w:lvl w:ilvl="2" w:tplc="1F9643DC">
      <w:numFmt w:val="decimal"/>
      <w:lvlText w:val=""/>
      <w:lvlJc w:val="left"/>
    </w:lvl>
    <w:lvl w:ilvl="3" w:tplc="CCB02518">
      <w:numFmt w:val="decimal"/>
      <w:lvlText w:val=""/>
      <w:lvlJc w:val="left"/>
    </w:lvl>
    <w:lvl w:ilvl="4" w:tplc="8A323C6C">
      <w:numFmt w:val="decimal"/>
      <w:lvlText w:val=""/>
      <w:lvlJc w:val="left"/>
    </w:lvl>
    <w:lvl w:ilvl="5" w:tplc="84E61436">
      <w:numFmt w:val="decimal"/>
      <w:lvlText w:val=""/>
      <w:lvlJc w:val="left"/>
    </w:lvl>
    <w:lvl w:ilvl="6" w:tplc="CE508452">
      <w:numFmt w:val="decimal"/>
      <w:lvlText w:val=""/>
      <w:lvlJc w:val="left"/>
    </w:lvl>
    <w:lvl w:ilvl="7" w:tplc="AF2A6600">
      <w:numFmt w:val="decimal"/>
      <w:lvlText w:val=""/>
      <w:lvlJc w:val="left"/>
    </w:lvl>
    <w:lvl w:ilvl="8" w:tplc="9C4EE704">
      <w:numFmt w:val="decimal"/>
      <w:lvlText w:val=""/>
      <w:lvlJc w:val="left"/>
    </w:lvl>
  </w:abstractNum>
  <w:abstractNum w:abstractNumId="3" w15:restartNumberingAfterBreak="0">
    <w:nsid w:val="265260FE"/>
    <w:multiLevelType w:val="hybridMultilevel"/>
    <w:tmpl w:val="5FD84430"/>
    <w:lvl w:ilvl="0" w:tplc="4C2ED260">
      <w:start w:val="1"/>
      <w:numFmt w:val="decimal"/>
      <w:lvlText w:val="%1."/>
      <w:lvlJc w:val="left"/>
      <w:pPr>
        <w:ind w:left="720"/>
      </w:pPr>
    </w:lvl>
    <w:lvl w:ilvl="1" w:tplc="5B7C40FA">
      <w:numFmt w:val="decimal"/>
      <w:lvlText w:val=""/>
      <w:lvlJc w:val="left"/>
    </w:lvl>
    <w:lvl w:ilvl="2" w:tplc="48BEFD3E">
      <w:numFmt w:val="decimal"/>
      <w:lvlText w:val=""/>
      <w:lvlJc w:val="left"/>
    </w:lvl>
    <w:lvl w:ilvl="3" w:tplc="CA140F30">
      <w:numFmt w:val="decimal"/>
      <w:lvlText w:val=""/>
      <w:lvlJc w:val="left"/>
    </w:lvl>
    <w:lvl w:ilvl="4" w:tplc="0CBAB63A">
      <w:numFmt w:val="decimal"/>
      <w:lvlText w:val=""/>
      <w:lvlJc w:val="left"/>
    </w:lvl>
    <w:lvl w:ilvl="5" w:tplc="4A58A3F6">
      <w:numFmt w:val="decimal"/>
      <w:lvlText w:val=""/>
      <w:lvlJc w:val="left"/>
    </w:lvl>
    <w:lvl w:ilvl="6" w:tplc="93F82B1E">
      <w:numFmt w:val="decimal"/>
      <w:lvlText w:val=""/>
      <w:lvlJc w:val="left"/>
    </w:lvl>
    <w:lvl w:ilvl="7" w:tplc="6D04A774">
      <w:numFmt w:val="decimal"/>
      <w:lvlText w:val=""/>
      <w:lvlJc w:val="left"/>
    </w:lvl>
    <w:lvl w:ilvl="8" w:tplc="B164D764">
      <w:numFmt w:val="decimal"/>
      <w:lvlText w:val=""/>
      <w:lvlJc w:val="left"/>
    </w:lvl>
  </w:abstractNum>
  <w:abstractNum w:abstractNumId="4" w15:restartNumberingAfterBreak="0">
    <w:nsid w:val="52C04F38"/>
    <w:multiLevelType w:val="hybridMultilevel"/>
    <w:tmpl w:val="B92A170E"/>
    <w:lvl w:ilvl="0" w:tplc="C236221E">
      <w:start w:val="1"/>
      <w:numFmt w:val="decimal"/>
      <w:lvlText w:val="%1."/>
      <w:lvlJc w:val="left"/>
      <w:pPr>
        <w:ind w:left="720"/>
      </w:pPr>
    </w:lvl>
    <w:lvl w:ilvl="1" w:tplc="36CA512C">
      <w:numFmt w:val="decimal"/>
      <w:lvlText w:val=""/>
      <w:lvlJc w:val="left"/>
    </w:lvl>
    <w:lvl w:ilvl="2" w:tplc="871A8710">
      <w:numFmt w:val="decimal"/>
      <w:lvlText w:val=""/>
      <w:lvlJc w:val="left"/>
    </w:lvl>
    <w:lvl w:ilvl="3" w:tplc="10F4AC52">
      <w:numFmt w:val="decimal"/>
      <w:lvlText w:val=""/>
      <w:lvlJc w:val="left"/>
    </w:lvl>
    <w:lvl w:ilvl="4" w:tplc="3AA41562">
      <w:numFmt w:val="decimal"/>
      <w:lvlText w:val=""/>
      <w:lvlJc w:val="left"/>
    </w:lvl>
    <w:lvl w:ilvl="5" w:tplc="ACB4FC8A">
      <w:numFmt w:val="decimal"/>
      <w:lvlText w:val=""/>
      <w:lvlJc w:val="left"/>
    </w:lvl>
    <w:lvl w:ilvl="6" w:tplc="F09AED18">
      <w:numFmt w:val="decimal"/>
      <w:lvlText w:val=""/>
      <w:lvlJc w:val="left"/>
    </w:lvl>
    <w:lvl w:ilvl="7" w:tplc="39F602A4">
      <w:numFmt w:val="decimal"/>
      <w:lvlText w:val=""/>
      <w:lvlJc w:val="left"/>
    </w:lvl>
    <w:lvl w:ilvl="8" w:tplc="B896080E">
      <w:numFmt w:val="decimal"/>
      <w:lvlText w:val=""/>
      <w:lvlJc w:val="left"/>
    </w:lvl>
  </w:abstractNum>
  <w:abstractNum w:abstractNumId="5" w15:restartNumberingAfterBreak="0">
    <w:nsid w:val="557669AE"/>
    <w:multiLevelType w:val="hybridMultilevel"/>
    <w:tmpl w:val="00E821BA"/>
    <w:lvl w:ilvl="0" w:tplc="510A3D64">
      <w:start w:val="1"/>
      <w:numFmt w:val="decimal"/>
      <w:lvlText w:val="%1."/>
      <w:lvlJc w:val="left"/>
      <w:pPr>
        <w:ind w:left="720"/>
      </w:pPr>
    </w:lvl>
    <w:lvl w:ilvl="1" w:tplc="7366A920">
      <w:numFmt w:val="decimal"/>
      <w:lvlText w:val=""/>
      <w:lvlJc w:val="left"/>
    </w:lvl>
    <w:lvl w:ilvl="2" w:tplc="9DFC512E">
      <w:numFmt w:val="decimal"/>
      <w:lvlText w:val=""/>
      <w:lvlJc w:val="left"/>
    </w:lvl>
    <w:lvl w:ilvl="3" w:tplc="E8300EA8">
      <w:numFmt w:val="decimal"/>
      <w:lvlText w:val=""/>
      <w:lvlJc w:val="left"/>
    </w:lvl>
    <w:lvl w:ilvl="4" w:tplc="B05A1FB0">
      <w:numFmt w:val="decimal"/>
      <w:lvlText w:val=""/>
      <w:lvlJc w:val="left"/>
    </w:lvl>
    <w:lvl w:ilvl="5" w:tplc="E9CAAE64">
      <w:numFmt w:val="decimal"/>
      <w:lvlText w:val=""/>
      <w:lvlJc w:val="left"/>
    </w:lvl>
    <w:lvl w:ilvl="6" w:tplc="D2CC7B02">
      <w:numFmt w:val="decimal"/>
      <w:lvlText w:val=""/>
      <w:lvlJc w:val="left"/>
    </w:lvl>
    <w:lvl w:ilvl="7" w:tplc="849CE108">
      <w:numFmt w:val="decimal"/>
      <w:lvlText w:val=""/>
      <w:lvlJc w:val="left"/>
    </w:lvl>
    <w:lvl w:ilvl="8" w:tplc="74B826B4">
      <w:numFmt w:val="decimal"/>
      <w:lvlText w:val=""/>
      <w:lvlJc w:val="left"/>
    </w:lvl>
  </w:abstractNum>
  <w:abstractNum w:abstractNumId="6" w15:restartNumberingAfterBreak="0">
    <w:nsid w:val="5E6F1230"/>
    <w:multiLevelType w:val="hybridMultilevel"/>
    <w:tmpl w:val="DC3EC0C0"/>
    <w:lvl w:ilvl="0" w:tplc="2AFE9942">
      <w:start w:val="1"/>
      <w:numFmt w:val="decimal"/>
      <w:lvlText w:val="%1."/>
      <w:lvlJc w:val="left"/>
      <w:pPr>
        <w:ind w:left="720"/>
      </w:pPr>
    </w:lvl>
    <w:lvl w:ilvl="1" w:tplc="F9C47824">
      <w:numFmt w:val="decimal"/>
      <w:lvlText w:val=""/>
      <w:lvlJc w:val="left"/>
    </w:lvl>
    <w:lvl w:ilvl="2" w:tplc="899EF724">
      <w:numFmt w:val="decimal"/>
      <w:lvlText w:val=""/>
      <w:lvlJc w:val="left"/>
    </w:lvl>
    <w:lvl w:ilvl="3" w:tplc="D72C6CD2">
      <w:numFmt w:val="decimal"/>
      <w:lvlText w:val=""/>
      <w:lvlJc w:val="left"/>
    </w:lvl>
    <w:lvl w:ilvl="4" w:tplc="233C3F64">
      <w:numFmt w:val="decimal"/>
      <w:lvlText w:val=""/>
      <w:lvlJc w:val="left"/>
    </w:lvl>
    <w:lvl w:ilvl="5" w:tplc="31D411BC">
      <w:numFmt w:val="decimal"/>
      <w:lvlText w:val=""/>
      <w:lvlJc w:val="left"/>
    </w:lvl>
    <w:lvl w:ilvl="6" w:tplc="C6265880">
      <w:numFmt w:val="decimal"/>
      <w:lvlText w:val=""/>
      <w:lvlJc w:val="left"/>
    </w:lvl>
    <w:lvl w:ilvl="7" w:tplc="7B46C708">
      <w:numFmt w:val="decimal"/>
      <w:lvlText w:val=""/>
      <w:lvlJc w:val="left"/>
    </w:lvl>
    <w:lvl w:ilvl="8" w:tplc="1B24B422">
      <w:numFmt w:val="decimal"/>
      <w:lvlText w:val=""/>
      <w:lvlJc w:val="left"/>
    </w:lvl>
  </w:abstractNum>
  <w:abstractNum w:abstractNumId="7" w15:restartNumberingAfterBreak="0">
    <w:nsid w:val="77374773"/>
    <w:multiLevelType w:val="hybridMultilevel"/>
    <w:tmpl w:val="7070DB3C"/>
    <w:lvl w:ilvl="0" w:tplc="0C624D02">
      <w:start w:val="1"/>
      <w:numFmt w:val="decimal"/>
      <w:lvlText w:val="%1."/>
      <w:lvlJc w:val="left"/>
      <w:pPr>
        <w:ind w:left="720"/>
      </w:pPr>
    </w:lvl>
    <w:lvl w:ilvl="1" w:tplc="D3CE11BE">
      <w:numFmt w:val="decimal"/>
      <w:lvlText w:val=""/>
      <w:lvlJc w:val="left"/>
    </w:lvl>
    <w:lvl w:ilvl="2" w:tplc="1F3456F6">
      <w:numFmt w:val="decimal"/>
      <w:lvlText w:val=""/>
      <w:lvlJc w:val="left"/>
    </w:lvl>
    <w:lvl w:ilvl="3" w:tplc="AADC5A4C">
      <w:numFmt w:val="decimal"/>
      <w:lvlText w:val=""/>
      <w:lvlJc w:val="left"/>
    </w:lvl>
    <w:lvl w:ilvl="4" w:tplc="72BC2DE0">
      <w:numFmt w:val="decimal"/>
      <w:lvlText w:val=""/>
      <w:lvlJc w:val="left"/>
    </w:lvl>
    <w:lvl w:ilvl="5" w:tplc="693C9118">
      <w:numFmt w:val="decimal"/>
      <w:lvlText w:val=""/>
      <w:lvlJc w:val="left"/>
    </w:lvl>
    <w:lvl w:ilvl="6" w:tplc="B79A0CAE">
      <w:numFmt w:val="decimal"/>
      <w:lvlText w:val=""/>
      <w:lvlJc w:val="left"/>
    </w:lvl>
    <w:lvl w:ilvl="7" w:tplc="A9EEADBA">
      <w:numFmt w:val="decimal"/>
      <w:lvlText w:val=""/>
      <w:lvlJc w:val="left"/>
    </w:lvl>
    <w:lvl w:ilvl="8" w:tplc="54CEDBA8">
      <w:numFmt w:val="decimal"/>
      <w:lvlText w:val=""/>
      <w:lvlJc w:val="left"/>
    </w:lvl>
  </w:abstractNum>
  <w:num w:numId="1" w16cid:durableId="35542936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101C"/>
    <w:rsid w:val="00192FE9"/>
    <w:rsid w:val="0021101C"/>
    <w:rsid w:val="0051289F"/>
    <w:rsid w:val="005E1471"/>
    <w:rsid w:val="006A55A5"/>
    <w:rsid w:val="007226BB"/>
    <w:rsid w:val="007A2E3D"/>
    <w:rsid w:val="007F74EE"/>
    <w:rsid w:val="00814DC9"/>
    <w:rsid w:val="00B021C9"/>
    <w:rsid w:val="00B6718C"/>
    <w:rsid w:val="00CD6A9C"/>
    <w:rsid w:val="00E3001C"/>
    <w:rsid w:val="00E9680A"/>
    <w:rsid w:val="00FF2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42596D"/>
  <w15:docId w15:val="{AC64D8FF-DA9C-B441-ABA7-92A0F387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nter" w:eastAsia="Inter" w:hAnsi="Inter" w:cs="Inter"/>
        <w:color w:val="333333"/>
        <w:spacing w:val="-2"/>
        <w:sz w:val="20"/>
        <w:szCs w:val="20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70" w:after="90" w:line="240" w:lineRule="auto"/>
      <w:outlineLvl w:val="0"/>
    </w:pPr>
    <w:rPr>
      <w:rFonts w:ascii="Tahoma" w:eastAsia="Tahoma" w:hAnsi="Tahoma" w:cs="Tahoma"/>
      <w:b/>
      <w:bCs/>
      <w:color w:val="1a1a1a"/>
      <w:spacing w:val="-10"/>
      <w:sz w:val="51"/>
      <w:szCs w:val="5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210" w:after="90" w:line="240" w:lineRule="auto"/>
      <w:outlineLvl w:val="1"/>
    </w:pPr>
    <w:rPr>
      <w:rFonts w:ascii="Tahoma" w:eastAsia="Tahoma" w:hAnsi="Tahoma" w:cs="Tahoma"/>
      <w:b/>
      <w:bCs/>
      <w:color w:val="1a1a1a"/>
      <w:spacing w:val="-8"/>
      <w:sz w:val="39"/>
      <w:szCs w:val="39"/>
    </w:rPr>
  </w:style>
  <w:style w:type="paragraph" w:styleId="Heading3">
    <w:name w:val="heading 3"/>
    <w:basedOn w:val="Normal"/>
    <w:next w:val="Normal"/>
    <w:uiPriority w:val="9"/>
    <w:qFormat/>
    <w:pPr>
      <w:keepNext/>
      <w:spacing w:before="180" w:after="90" w:line="240" w:lineRule="auto"/>
      <w:outlineLvl w:val="2"/>
    </w:pPr>
    <w:rPr>
      <w:rFonts w:ascii="Tahoma" w:eastAsia="Tahoma" w:hAnsi="Tahoma" w:cs="Tahoma"/>
      <w:b/>
      <w:bCs/>
      <w:color w:val="1a1a1a"/>
      <w:spacing w:val="-6"/>
      <w:sz w:val="28"/>
      <w:szCs w:val="28"/>
    </w:rPr>
  </w:style>
  <w:style w:type="paragraph" w:styleId="Heading4">
    <w:name w:val="heading 4"/>
    <w:basedOn w:val="Normal"/>
    <w:next w:val="Normal"/>
    <w:uiPriority w:val="9"/>
    <w:qFormat/>
    <w:pPr>
      <w:keepNext/>
      <w:spacing w:before="150" w:after="90" w:line="240" w:lineRule="auto"/>
      <w:outlineLvl w:val="3"/>
    </w:pPr>
    <w:rPr>
      <w:rFonts w:ascii="Tahoma" w:eastAsia="Tahoma" w:hAnsi="Tahoma" w:cs="Tahoma"/>
      <w:b/>
      <w:bCs/>
      <w:color w:val="1a1a1a"/>
      <w:spacing w:val="-5"/>
      <w:sz w:val="25"/>
      <w:szCs w:val="25"/>
    </w:rPr>
  </w:style>
  <w:style w:type="paragraph" w:styleId="Heading5">
    <w:name w:val="heading 5"/>
    <w:basedOn w:val="Normal"/>
    <w:next w:val="Normal"/>
    <w:uiPriority w:val="9"/>
    <w:qFormat/>
    <w:pPr>
      <w:keepNext/>
      <w:spacing w:before="120" w:after="90" w:line="240" w:lineRule="auto"/>
      <w:outlineLvl w:val="4"/>
    </w:pPr>
    <w:rPr>
      <w:rFonts w:ascii="Tahoma" w:eastAsia="Tahoma" w:hAnsi="Tahoma" w:cs="Tahoma"/>
      <w:b/>
      <w:bCs/>
      <w:color w:val="1a1a1a"/>
      <w:spacing w:val="-5"/>
      <w:sz w:val="23"/>
      <w:szCs w:val="23"/>
    </w:rPr>
  </w:style>
  <w:style w:type="paragraph" w:styleId="Heading6">
    <w:name w:val="heading 6"/>
    <w:basedOn w:val="Normal"/>
    <w:next w:val="Normal"/>
    <w:uiPriority w:val="9"/>
    <w:qFormat/>
    <w:pPr>
      <w:keepNext/>
      <w:spacing w:before="120" w:after="90" w:line="240" w:lineRule="auto"/>
      <w:outlineLvl w:val="5"/>
    </w:pPr>
    <w:rPr>
      <w:rFonts w:ascii="Tahoma" w:eastAsia="Tahoma" w:hAnsi="Tahoma" w:cs="Tahoma"/>
      <w:b/>
      <w:bCs/>
      <w:color w:val="1a1a1a"/>
      <w:spacing w:val="-4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D6A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6A9C"/>
  </w:style>
  <w:style w:type="paragraph" w:styleId="Footer">
    <w:name w:val="footer"/>
    <w:basedOn w:val="Normal"/>
    <w:link w:val="FooterChar"/>
    <w:uiPriority w:val="99"/>
    <w:unhideWhenUsed/>
    <w:rsid w:val="00CD6A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6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f8872820b6be29676413b09acc9c1253d34a76c4.jpeg"/><Relationship Id="rIdtcdztgvhhcbo09twbcwsv" Type="http://schemas.openxmlformats.org/officeDocument/2006/relationships/hyperlink" Target="/share/y3Zfxg6nNLd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Kal Kilpi</cp:lastModifiedBy>
  <cp:revision>6</cp:revision>
  <dcterms:created xsi:type="dcterms:W3CDTF">2025-08-17T20:13:00Z</dcterms:created>
  <dcterms:modified xsi:type="dcterms:W3CDTF">2026-03-05T02:52:00Z</dcterms:modified>
</cp:coreProperties>
</file>