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jpeg" Extension="jpeg"/>
  <Default ContentType="image/jpeg" Extension="jpg"/>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
  <w:body>
    <w:p>
      <w:pPr>
        <w:shd w:fill="1f2937" w:color="auto" w:val="clear"/>
        <w:spacing w:before="0" w:after="0" w:line="240" w:lineRule="exact"/>
      </w:pPr>
      <w:r>
        <w:drawing>
          <wp:anchor distT="0" distB="0" distL="0" distR="0" simplePos="0" allowOverlap="1" behindDoc="0" locked="0" layoutInCell="0" relativeHeight="657225">
            <wp:simplePos x="0" y="0"/>
            <wp:positionH relativeFrom="page">
              <wp:posOffset>818515</wp:posOffset>
            </wp:positionH>
            <wp:positionV relativeFrom="page">
              <wp:posOffset>972185</wp:posOffset>
            </wp:positionV>
            <wp:extent cx="657225" cy="6572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 cy="657225"/>
                    </a:xfrm>
                    <a:prstGeom prst="roundRect">
                      <a:avLst>
                        <a:gd name="adj" fmla="val 5000"/>
                      </a:avLst>
                    </a:prstGeom>
                  </pic:spPr>
                </pic:pic>
              </a:graphicData>
            </a:graphic>
          </wp:anchor>
        </w:drawing>
      </w:r>
    </w:p>
    <w:tbl>
      <w:tblPr>
        <w:tblW w:type="dxa" w:w="11906"/>
        <w:tblBorders>
          <w:top w:val="nil"/>
          <w:left w:val="nil"/>
          <w:bottom w:val="nil"/>
          <w:right w:val="nil"/>
          <w:insideH w:val="nil"/>
          <w:insideV w:val="nil"/>
        </w:tblBorders>
        <w:tblLayout w:type="fixed"/>
      </w:tblPr>
      <w:tblGrid>
        <w:gridCol w:w="11906"/>
      </w:tblGrid>
      <w:tr>
        <w:trPr>
          <w:trHeight w:val="16443" w:hRule="exact"/>
        </w:trPr>
        <w:tc>
          <w:tcPr>
            <w:tcW w:type="dxa" w:w="11906"/>
            <w:tcBorders>
              <w:top w:val="nil"/>
              <w:left w:val="nil"/>
              <w:bottom w:val="nil"/>
              <w:right w:val="nil"/>
            </w:tcBorders>
            <w:shd w:fill="1f2937" w:color="auto" w:val="clear"/>
            <w:tcMar>
              <w:top w:type="dxa" w:w="0"/>
              <w:left w:type="dxa" w:w="1289"/>
              <w:bottom w:type="dxa" w:w="0"/>
              <w:right w:type="dxa" w:w="1289"/>
            </w:tcMar>
            <w:vAlign w:val="center"/>
          </w:tcPr>
          <w:p>
            <w:pPr>
              <w:pStyle w:val="Title"/>
              <w:keepNext/>
              <w:keepLines/>
              <w:spacing w:after="400"/>
              <w:jc w:val="left"/>
              <w:rPr>
                <w:color w:val="ffffff"/>
              </w:rPr>
            </w:pPr>
            <w:r>
              <w:rPr>
                <w:rFonts w:ascii="Tahoma" w:cs="Tahoma" w:eastAsia="Tahoma" w:hAnsi="Tahoma"/>
                <w:b/>
                <w:bCs/>
                <w:color w:val="ffffff"/>
                <w:spacing w:val="-18"/>
                <w:sz w:val="59"/>
                <w:szCs w:val="59"/>
              </w:rPr>
              <w:t xml:space="preserve">Autonomous Delivery — Competitive Positioning Matrix</w:t>
            </w:r>
          </w:p>
          <w:p>
            <w:pPr>
              <w:keepNext/>
              <w:keepLines/>
              <w:spacing w:after="200"/>
              <w:jc w:val="left"/>
              <w:rPr>
                <w:color w:val="ffffff"/>
              </w:rPr>
            </w:pPr>
            <w:r>
              <w:rPr>
                <w:rFonts w:ascii="Tahoma" w:cs="Tahoma" w:eastAsia="Tahoma" w:hAnsi="Tahoma"/>
                <w:b/>
                <w:bCs/>
                <w:color w:val="ffffff"/>
                <w:sz w:val="34"/>
                <w:szCs w:val="34"/>
              </w:rPr>
              <w:t xml:space="preserve">Drone &amp; Ground Robot Landscape: Zipline, Wing, DroneUp, Flytrex, Matternet, Manna, A2Z, Serve, Starship, Coco, Nuro — vs. Amazon Prime Air</w:t>
            </w:r>
          </w:p>
          <w:p>
            <w:pPr>
              <w:spacing w:after="200"/>
              <w:jc w:val="left"/>
            </w:pPr>
            <w:r>
              <w:rPr>
                <w:rFonts w:ascii="Inter" w:cs="Inter" w:eastAsia="Inter" w:hAnsi="Inter"/>
                <w:b/>
                <w:bCs/>
                <w:color w:val="ffffff"/>
                <w:sz w:val="19"/>
                <w:szCs w:val="19"/>
              </w:rPr>
              <w:t xml:space="preserve">Author:</w:t>
            </w:r>
            <w:r>
              <w:rPr>
                <w:rFonts w:ascii="Inter" w:cs="Inter" w:eastAsia="Inter" w:hAnsi="Inter"/>
                <w:color w:val="d2d4d7"/>
                <w:sz w:val="19"/>
                <w:szCs w:val="19"/>
              </w:rPr>
              <w:t xml:space="preserve"> Walmart Corporate Development
</w:t>
            </w:r>
            <w:r>
              <w:rPr>
                <w:rFonts w:ascii="Inter" w:cs="Inter" w:eastAsia="Inter" w:hAnsi="Inter"/>
                <w:b/>
                <w:bCs/>
                <w:color w:val="ffffff"/>
                <w:sz w:val="19"/>
                <w:szCs w:val="19"/>
              </w:rPr>
              <w:t xml:space="preserve">Date:</w:t>
            </w:r>
            <w:r>
              <w:rPr>
                <w:rFonts w:ascii="Inter" w:cs="Inter" w:eastAsia="Inter" w:hAnsi="Inter"/>
                <w:color w:val="d2d4d7"/>
                <w:sz w:val="19"/>
                <w:szCs w:val="19"/>
              </w:rPr>
              <w:t xml:space="preserve"> August 2026</w:t>
            </w:r>
          </w:p>
        </w:tc>
      </w:tr>
      <w:tr>
        <w:trPr>
          <w:trHeight w:val="155" w:hRule="exact"/>
        </w:trPr>
        <w:tc>
          <w:tcPr>
            <w:tcW w:type="dxa" w:w="11906"/>
            <w:tcBorders>
              <w:top w:val="nil"/>
              <w:left w:val="nil"/>
              <w:bottom w:val="nil"/>
              <w:right w:val="nil"/>
            </w:tcBorders>
            <w:shd w:fill="3b82f6" w:color="auto" w:val="clear"/>
            <w:tcMar>
              <w:top w:type="dxa" w:w="0"/>
              <w:left w:type="dxa" w:w="0"/>
              <w:bottom w:type="dxa" w:w="0"/>
              <w:right w:type="dxa" w:w="0"/>
            </w:tcMar>
            <w:vAlign w:val="top"/>
          </w:tcPr>
          <w:p>
            <w:pPr>
              <w:spacing w:before="0" w:after="0" w:line="1"/>
            </w:pPr>
            <w:r>
              <w:rPr>
                <w:sz w:val="2"/>
                <w:szCs w:val="2"/>
              </w:rPr>
              <w:t xml:space="preserve"/>
            </w:r>
          </w:p>
        </w:tc>
      </w:tr>
    </w:tbl>
    <w:p>
      <w:pPr>
        <w:sectPr>
          <w:pgSz w:w="11906" w:h="16838" w:orient="portrait"/>
          <w:pgMar w:top="0" w:right="0" w:bottom="0" w:left="0" w:header="0" w:footer="0" w:gutter="0"/>
          <w:pgNumType/>
          <w:docGrid w:linePitch="360"/>
        </w:sectPr>
      </w:pPr>
    </w:p>
    <w:p>
      <w:pPr>
        <w:pStyle w:val="Heading1"/>
        <w:keepNext/>
        <w:keepLines/>
        <w:spacing w:before="270" w:after="90" w:line="240"/>
        <w:rPr>
          <w:color w:val="0a0a0a"/>
        </w:rPr>
      </w:pPr>
      <w:bookmarkStart w:name="section_e5150126" w:id="1"/>
      <w:r>
        <w:rPr>
          <w:rFonts w:ascii="Inter" w:cs="Inter" w:eastAsia="Inter" w:hAnsi="Inter"/>
          <w:b/>
          <w:bCs/>
          <w:color w:val="0a0a0a"/>
          <w:spacing w:val="-10"/>
        </w:rPr>
        <w:t xml:space="preserve">Autonomous Delivery — Competitive Positioning Matrix</w:t>
      </w:r>
      <w:bookmarkEnd w:id="1"/>
    </w:p>
    <w:p>
      <w:pPr>
        <w:spacing w:after="200" w:line="276"/>
      </w:pPr>
      <w:r>
        <w:t xml:space="preserve">This document maps the competitive landscape underpinning the acquisition theses developed in </w:t>
      </w:r>
      <w:hyperlink w:history="1" r:id="rId8o1qwxs1jdijsxsmhqln8">
        <w:r>
          <w:rPr>
            <w:rStyle w:val="Hyperlink"/>
          </w:rPr>
          <w:t xml:space="preserve">M&amp;A Target Identification: Autonomous Delivery &amp; Drone Technology — Strategic Acquisition Targets for Walmart</w:t>
        </w:r>
      </w:hyperlink>
      <w:r>
        <w:t xml:space="preserve"> [F-1]. Twelve players are positioned along two dimensions that matter most to Walmart: </w:t>
      </w:r>
      <w:r>
        <w:rPr>
          <w:b/>
          <w:bCs/>
        </w:rPr>
        <w:t xml:space="preserve">deployment maturity</w:t>
      </w:r>
      <w:r>
        <w:t xml:space="preserve"> (pilot programs → scaled commercial operations) and </w:t>
      </w:r>
      <w:r>
        <w:rPr>
          <w:b/>
          <w:bCs/>
        </w:rPr>
        <w:t xml:space="preserve">retail delivery specialization</w:t>
      </w:r>
      <w:r>
        <w:t xml:space="preserve"> (general logistics/autonomy → purpose-built retail last-mile). Amazon Prime Air is included as the vertically integrated incumbent reference. The map spans both aerial (drone) and ground (sidewalk robot / road vehicle) modalities, since Walmart's 30-minute store-to-door ambition will ultimately blend both [F-1].</w:t>
      </w:r>
    </w:p>
    <w:p>
      <w:pPr>
        <w:pStyle w:val="Heading2"/>
        <w:keepNext/>
        <w:keepLines/>
        <w:spacing w:before="210" w:after="90" w:line="240"/>
        <w:rPr>
          <w:color w:val="0a0a0a"/>
        </w:rPr>
      </w:pPr>
      <w:bookmarkStart w:name="section_d2e14ef" w:id="1"/>
      <w:r>
        <w:rPr>
          <w:rFonts w:ascii="Inter" w:cs="Inter" w:eastAsia="Inter" w:hAnsi="Inter"/>
          <w:b/>
          <w:bCs/>
          <w:color w:val="0a0a0a"/>
          <w:spacing w:val="-8"/>
        </w:rPr>
        <w:t xml:space="preserve">Positioning Matrix</w:t>
      </w:r>
      <w:bookmarkEnd w:id="1"/>
    </w:p>
    <w:p>
      <w:pPr>
        <w:spacing w:before="200" w:after="200"/>
        <w:jc w:val="center"/>
      </w:pPr>
      <w:r>
        <w:t xml:space="preserve">Failed to fetch picture</w:t>
      </w:r>
    </w:p>
    <w:p>
      <w:pPr>
        <w:spacing w:after="200" w:line="276"/>
      </w:pPr>
      <w:r>
        <w:rPr>
          <w:b/>
          <w:bCs/>
        </w:rPr>
        <w:t xml:space="preserve">How to read the map.</w:t>
      </w:r>
      <w:r>
        <w:t xml:space="preserve"> The top-right quadrant — scaled operators purpose-built for retail last-mile — is thinly populated: only Wing and Amazon Prime Air occupy it decisively, and neither is acquirable. Zipline has unmatched maturity but a healthcare-heavy heritage; Starship has the largest ground-delivery track record and is pivoting toward grocery [16]. The acquirable retail specialists (Flytrex, Manna, DroneUp, Coco, Serve) cluster in the upper-middle — proven but sub-scale — which is precisely where the M&amp;A opportunity identified in the target report sits [F-1].</w:t>
      </w:r>
    </w:p>
    <w:p>
      <w:pPr>
        <w:pStyle w:val="Heading2"/>
        <w:keepNext/>
        <w:keepLines/>
        <w:spacing w:before="210" w:after="90" w:line="240"/>
        <w:rPr>
          <w:color w:val="0a0a0a"/>
        </w:rPr>
      </w:pPr>
      <w:bookmarkStart w:name="section_fe0857f5" w:id="1"/>
      <w:r>
        <w:rPr>
          <w:rFonts w:ascii="Inter" w:cs="Inter" w:eastAsia="Inter" w:hAnsi="Inter"/>
          <w:b/>
          <w:bCs/>
          <w:color w:val="0a0a0a"/>
          <w:spacing w:val="-8"/>
        </w:rPr>
        <w:t xml:space="preserve">Company Comparison</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81"/>
        <w:gridCol w:w="1205"/>
        <w:gridCol w:w="1383"/>
        <w:gridCol w:w="1596"/>
        <w:gridCol w:w="2018"/>
        <w:gridCol w:w="2017"/>
      </w:tblGrid>
      <w:tr>
        <w:trPr>
          <w:tblHeader/>
        </w:trPr>
        <w:tc>
          <w:tcPr>
            <w:tcW w:type="pct" w:w="17.8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Company</w:t>
            </w:r>
          </w:p>
        </w:tc>
        <w:tc>
          <w:tcPr>
            <w:tcW w:type="pct" w:w="12.0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HQ</w:t>
            </w:r>
          </w:p>
        </w:tc>
        <w:tc>
          <w:tcPr>
            <w:tcW w:type="pct" w:w="13.8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Segment</w:t>
            </w:r>
          </w:p>
        </w:tc>
        <w:tc>
          <w:tcPr>
            <w:tcW w:type="pct" w:w="15.9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Stage / Est. valuation</w:t>
            </w:r>
          </w:p>
        </w:tc>
        <w:tc>
          <w:tcPr>
            <w:tcW w:type="pct" w:w="20.1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Flagship deployment</w:t>
            </w:r>
          </w:p>
        </w:tc>
        <w:tc>
          <w:tcPr>
            <w:tcW w:type="pct" w:w="20.1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Walmart relevance</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Zipline</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South San Francisco, CA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Long-range drone logistics (health → retail)</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$800M Series H at </w:t>
            </w:r>
            <w:r>
              <w:rPr>
                <w:b/>
                <w:bCs/>
                <w:color w:val="374151"/>
                <w:sz w:val="20"/>
                <w:szCs w:val="20"/>
              </w:rPr>
              <w:t xml:space="preserve">~$7.6B</w:t>
            </w:r>
            <w:r>
              <w:rPr>
                <w:color w:val="4b5563"/>
                <w:sz w:val="20"/>
                <w:szCs w:val="20"/>
              </w:rPr>
              <w:t xml:space="preserve"> [F-1]</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2M+ deliveries, 120M+ autonomous miles across 7+ countries; Walmart DFW stores [F-1]</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Current partner; too expensive to buy — minority stake / deepened partnership [F-1]</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Wing (Alphabet)</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Palo Alto, CA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Suburban retail drone delivery</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Alphabet subsidiary (not acquirable)</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1M+ global deliveries [57]; 66 Walmart stores across 5 metros, scaling to 270+ by 2027 [58, 63]</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Primary partner and single biggest dependency; strengthen contractual protections [F-1]</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DroneUp</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Virginia Beach, VA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Full-stack drone ops + UTM (AirMap)</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~$16.8M raised; est. EV </w:t>
            </w:r>
            <w:r>
              <w:rPr>
                <w:b/>
                <w:bCs/>
                <w:color w:val="374151"/>
                <w:sz w:val="20"/>
                <w:szCs w:val="20"/>
              </w:rPr>
              <w:t xml:space="preserve">$150–300M</w:t>
            </w:r>
            <w:r>
              <w:rPr>
                <w:color w:val="4b5563"/>
                <w:sz w:val="20"/>
                <w:szCs w:val="20"/>
              </w:rPr>
              <w:t xml:space="preserve"> [F-1]</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Operated 36 Walmart hubs in 7 states (2021–2024); FAA Part 135; now ~15 hubs [F-1]</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Tier 1 target — recaptures Walmart operational IP + UTM at depressed valuation [F-1]</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Flytrex</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Tel Aviv / US</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Suburban food &amp; retail drone delivery</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~$60M raised; est. EV </w:t>
            </w:r>
            <w:r>
              <w:rPr>
                <w:b/>
                <w:bCs/>
                <w:color w:val="374151"/>
                <w:sz w:val="20"/>
                <w:szCs w:val="20"/>
              </w:rPr>
              <w:t xml:space="preserve">$200–400M</w:t>
            </w:r>
            <w:r>
              <w:rPr>
                <w:color w:val="4b5563"/>
                <w:sz w:val="20"/>
                <w:szCs w:val="20"/>
              </w:rPr>
              <w:t xml:space="preserve"> [F-1]</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200K+ US deliveries; BVLOS without observers (4th US provider); Uber &amp; DoorDash ties [F-1]</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Tier 1 target — store-to-door architecture and regulatory moat match Walmart's profile [F-1]</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Matternet</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Mountain View, CA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Medical/pharmacy drone logistics</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~$80M raised; </w:t>
            </w:r>
            <w:r>
              <w:rPr>
                <w:b/>
                <w:bCs/>
                <w:color w:val="374151"/>
                <w:sz w:val="20"/>
                <w:szCs w:val="20"/>
              </w:rPr>
              <w:t xml:space="preserve">$180–220M</w:t>
            </w:r>
            <w:r>
              <w:rPr>
                <w:color w:val="4b5563"/>
                <w:sz w:val="20"/>
                <w:szCs w:val="20"/>
              </w:rPr>
              <w:t xml:space="preserve"> last valuation [F-1]</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Only FAA Type Certified delivery drone; NHS London, Swiss &amp; US hospital networks [F-1]</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Conditional buy — pharmacy/Rx drone delivery for Walmart Health [F-1]</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Manna</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Dublin, Ireland</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High-velocity suburban food drone delivery</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~$110M raised (incl. $50M Series B); est. EV </w:t>
            </w:r>
            <w:r>
              <w:rPr>
                <w:b/>
                <w:bCs/>
                <w:color w:val="374151"/>
                <w:sz w:val="20"/>
                <w:szCs w:val="20"/>
              </w:rPr>
              <w:t xml:space="preserve">$300–600M</w:t>
            </w:r>
            <w:r>
              <w:rPr>
                <w:color w:val="4b5563"/>
                <w:sz w:val="20"/>
                <w:szCs w:val="20"/>
              </w:rPr>
              <w:t xml:space="preserve"> [F-1]</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300K+ flights in Ireland, Finland, US; ~2:40 avg. delivery — fastest in industry [F-1]</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Tier 2 target — speed leadership plus EU/FAA dual regulatory expertise [F-1]</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A2Z Drone Delivery</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Torrance, CA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Enabling tech: winches &amp; autonomous docks</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Early commercial; est. EV </w:t>
            </w:r>
            <w:r>
              <w:rPr>
                <w:b/>
                <w:bCs/>
                <w:color w:val="374151"/>
                <w:sz w:val="20"/>
                <w:szCs w:val="20"/>
              </w:rPr>
              <w:t xml:space="preserve">$50–150M</w:t>
            </w:r>
            <w:r>
              <w:rPr>
                <w:color w:val="4b5563"/>
                <w:sz w:val="20"/>
                <w:szCs w:val="20"/>
              </w:rPr>
              <w:t xml:space="preserve"> [F-1]</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Patented AirDock; RDS2 winch with 22 lb payload — highest in industry [F-1]</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Tier 3 tuck-in — ground infrastructure IP for a Walmart-owned drone network [F-1]</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Serve Robotics</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Los Angeles, CA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Sidewalk robots (restaurant/retail)</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Public (NASDAQ: SERV); </w:t>
            </w:r>
            <w:r>
              <w:rPr>
                <w:b/>
                <w:bCs/>
                <w:color w:val="374151"/>
                <w:sz w:val="20"/>
                <w:szCs w:val="20"/>
              </w:rPr>
              <w:t xml:space="preserve">~$423M market cap</w:t>
            </w:r>
            <w:r>
              <w:rPr>
                <w:color w:val="4b5563"/>
                <w:sz w:val="20"/>
                <w:szCs w:val="20"/>
              </w:rPr>
              <w:t xml:space="preserve"> [1]</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2,000+ robots built; food fleet in 20 cities / 6 metros; Uber Eats, 7-Eleven, Shake Shack [4, 6, 8]</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Public-market entry into ground last-mile; volume still thin (FY26 rev. guide $9–10M) [4]</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Starship Technologies</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San Francisco / Tallinn</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Sidewalk robots (grocery-led)</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$50M Series C (Oct 2025); &gt;$280M raised [13]</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10M+ deliveries, 3,000+ robots, 8 countries; pivoting 1,200 campus robots to grocery/urban [16]</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Largest ground-delivery track record; grocery pivot makes it the natural Walmart ground partner or target [16]</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Coco Robotics</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Los Angeles, CA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Urban sidewalk robots (food/retail)</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~$110M+ raised ($80M round, Jun 2025; Sam Altman-backed) [22]</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500K+ deliveries; ~1,000 robots across LA, Chicago, Miami, DC, San Jose, Helsinki [27, 29, 30]</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Fast-scaling urban coverage complementing Walmart's suburban drone focus</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Nuro</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Mountain View, CA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L4 autonomy licensing (ex-delivery vehicles)</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$203M Series E at </w:t>
            </w:r>
            <w:r>
              <w:rPr>
                <w:b/>
                <w:bCs/>
                <w:color w:val="374151"/>
                <w:sz w:val="20"/>
                <w:szCs w:val="20"/>
              </w:rPr>
              <w:t xml:space="preserve">$6B</w:t>
            </w:r>
            <w:r>
              <w:rPr>
                <w:color w:val="4b5563"/>
                <w:sz w:val="20"/>
                <w:szCs w:val="20"/>
              </w:rPr>
              <w:t xml:space="preserve"> (Aug 2025); $2.3B+ raised [34, 35]</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Pivoted to licensing Nuro Driver; Lucid–Uber robotaxi program (20K vehicles planned) [36, 39]</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Former Walmart Houston pilot partner (2019) [43]; now a licensing play, not a delivery operator</w:t>
            </w:r>
          </w:p>
        </w:tc>
      </w:tr>
      <w:tr>
        <w:trPr>
          <w:cantSplit w:val="false"/>
        </w:trPr>
        <w:tc>
          <w:tcPr>
            <w:tcW w:type="pct" w:w="17.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2d2d2d"/>
                <w:sz w:val="20"/>
                <w:szCs w:val="20"/>
              </w:rPr>
              <w:t xml:space="preserve">**Amazon Prime Air**  </w:t>
            </w:r>
            <w:r>
              <w:rPr>
                <w:b/>
                <w:bCs/>
                <w:caps/>
                <w:color w:val="991b1b"/>
                <w:sz w:val="15"/>
                <w:szCs w:val="15"/>
                <w:shd w:fill="fee2e2" w:val="clear"/>
              </w:rPr>
              <w:t xml:space="preserve"> INCUMBENT </w:t>
            </w:r>
            <w:r>
              <w:rPr>
                <w:sz w:val="15"/>
                <w:szCs w:val="15"/>
              </w:rPr>
              <w:t xml:space="preserve"> </w:t>
            </w:r>
          </w:p>
        </w:tc>
        <w:tc>
          <w:tcPr>
            <w:tcW w:type="pct" w:w="12.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Seattle, WA</w:t>
            </w:r>
          </w:p>
        </w:tc>
        <w:tc>
          <w:tcPr>
            <w:tcW w:type="pct" w:w="13.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Vertically integrated drone delivery</w:t>
            </w:r>
          </w:p>
        </w:tc>
        <w:tc>
          <w:tcPr>
            <w:tcW w:type="pct" w:w="15.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Amazon-owned (reference)</w:t>
            </w:r>
          </w:p>
        </w:tc>
        <w:tc>
          <w:tcPr>
            <w:tcW w:type="pct" w:w="20.1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MK30 from 11 sites in 7 states; "hundreds of thousands" of 2026 deliveries; targeting ~500 cities by end-2026 [46, 55]</w:t>
            </w:r>
          </w:p>
        </w:tc>
        <w:tc>
          <w:tcPr>
            <w:tcW w:type="pct" w:w="20.1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The threat case: owns its full stack, cost curve, and roadmap — the model Walmart must answer [F-1]</w:t>
            </w:r>
          </w:p>
        </w:tc>
      </w:tr>
    </w:tbl>
    <w:p>
      <w:pPr>
        <w:spacing w:after="200"/>
      </w:pPr>
    </w:p>
    <w:p>
      <w:pPr>
        <w:pStyle w:val="Heading2"/>
        <w:keepNext/>
        <w:keepLines/>
        <w:spacing w:before="210" w:after="90" w:line="240"/>
        <w:rPr>
          <w:color w:val="0a0a0a"/>
        </w:rPr>
      </w:pPr>
      <w:bookmarkStart w:name="section_a70d0c46" w:id="1"/>
      <w:r>
        <w:rPr>
          <w:rFonts w:ascii="Inter" w:cs="Inter" w:eastAsia="Inter" w:hAnsi="Inter"/>
          <w:b/>
          <w:bCs/>
          <w:color w:val="0a0a0a"/>
          <w:spacing w:val="-8"/>
        </w:rPr>
        <w:t xml:space="preserve">Where the White Space Sits for Walmart</w:t>
      </w:r>
      <w:bookmarkEnd w:id="1"/>
    </w:p>
    <w:p>
      <w:pPr>
        <w:pStyle w:val="ListParagraph"/>
        <w:numPr>
          <w:ilvl w:val="0"/>
          <w:numId w:val="1"/>
        </w:numPr>
        <w:spacing w:after="200" w:line="276"/>
        <w:ind w:left="520" w:hanging="360"/>
      </w:pPr>
      <w:r>
        <w:rPr>
          <w:b/>
          <w:bCs/>
        </w:rPr>
        <w:t xml:space="preserve">The scaled-retail quadrant is a duopoly of unbuyables — the white space is assembling it, not buying it.</w:t>
      </w:r>
      <w:r>
        <w:t xml:space="preserve"> Only Wing (Alphabet-owned) and Prime Air (Amazon-owned) combine scale with retail specialization today. Walmart cannot acquire either, but it can construct an equivalent by combining an acquirable operator (Flytrex or DroneUp), UTM software (AirMap via DroneUp), and enabling infrastructure (A2Z) for a fraction of Zipline's $7.6B price [F-1].</w:t>
      </w:r>
    </w:p>
    <w:p>
      <w:pPr>
        <w:pStyle w:val="ListParagraph"/>
        <w:numPr>
          <w:ilvl w:val="0"/>
          <w:numId w:val="1"/>
        </w:numPr>
        <w:spacing w:after="200" w:line="276"/>
        <w:ind w:left="520" w:hanging="360"/>
      </w:pPr>
      <w:r>
        <w:rPr>
          <w:b/>
          <w:bCs/>
        </w:rPr>
        <w:t xml:space="preserve">Proven-but-sub-scale retail specialists are historically cheap right now.</w:t>
      </w:r>
      <w:r>
        <w:t xml:space="preserve"> DroneUp trades at a post-breakup discount ($150–300M est.), Flytrex at ~$200–400M despite holding one of only four US observer-free BVLOS approvals [F-1]. As the FAA's national BVLOS rule matures and UAS M&amp;A accelerates (20 → 46 deals from 2023 to 2025), this window closes [F-1].</w:t>
      </w:r>
    </w:p>
    <w:p>
      <w:pPr>
        <w:pStyle w:val="ListParagraph"/>
        <w:numPr>
          <w:ilvl w:val="0"/>
          <w:numId w:val="1"/>
        </w:numPr>
        <w:spacing w:after="200" w:line="276"/>
        <w:ind w:left="520" w:hanging="360"/>
      </w:pPr>
      <w:r>
        <w:rPr>
          <w:b/>
          <w:bCs/>
        </w:rPr>
        <w:t xml:space="preserve">Ground robots are the unclaimed second modality.</w:t>
      </w:r>
      <w:r>
        <w:t xml:space="preserve"> Amazon has no meaningful sidewalk-robot play, while Starship's explicit pivot from campuses to grocery delivery [16] — with 10M+ deliveries of operating history — creates a partner-or-acquire opening that would extend Walmart's store-to-door reach to dense urban zones where drones face siting and airspace constraints.</w:t>
      </w:r>
    </w:p>
    <w:p>
      <w:pPr>
        <w:pStyle w:val="ListParagraph"/>
        <w:numPr>
          <w:ilvl w:val="0"/>
          <w:numId w:val="1"/>
        </w:numPr>
        <w:spacing w:after="200" w:line="276"/>
        <w:ind w:left="520" w:hanging="360"/>
      </w:pPr>
      <w:r>
        <w:rPr>
          <w:b/>
          <w:bCs/>
        </w:rPr>
        <w:t xml:space="preserve">Pharmacy delivery is an uncontested vertical.</w:t>
      </w:r>
      <w:r>
        <w:t xml:space="preserve"> Matternet's FAA Type Certification and medical-grade logistics have no retail-side challenger; paired with Walmart's 4,600+ pharmacies, prescription drone delivery is a healthcare moat Amazon cannot quickly replicate [F-1].</w:t>
      </w:r>
    </w:p>
    <w:p>
      <w:pPr>
        <w:pStyle w:val="ListParagraph"/>
        <w:numPr>
          <w:ilvl w:val="0"/>
          <w:numId w:val="1"/>
        </w:numPr>
        <w:spacing w:after="200" w:line="276"/>
        <w:ind w:left="520" w:hanging="360"/>
      </w:pPr>
      <w:r>
        <w:rPr>
          <w:b/>
          <w:bCs/>
        </w:rPr>
        <w:t xml:space="preserve">Speed and unit economics — not coverage — are the endgame differentiators.</w:t>
      </w:r>
      <w:r>
        <w:t xml:space="preserve"> Manna's ~2:40 average delivery is faster than anything Amazon's warehouse-to-door model can structurally match [F-1], and Prime Air's ~500-city target [46] means coverage parity alone will not defend Walmart's lead. Owning technology that drives cost per delivery from ~$13.50 toward ~$7 or below is where durable advantage is created [F-1].</w:t>
      </w:r>
    </w:p>
    <w:sectPr w:rsidR="0021101C" w:rsidRPr="00E3001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3F52" w14:textId="77777777" w:rsidR="00192FE9" w:rsidRDefault="00192FE9" w:rsidP="00CD6A9C">
      <w:r>
        <w:separator/>
      </w:r>
    </w:p>
  </w:endnote>
  <w:endnote w:type="continuationSeparator" w:id="0">
    <w:p w14:paraId="1494511E" w14:textId="77777777" w:rsidR="00192FE9" w:rsidRDefault="00192FE9" w:rsidP="00CD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1082" w14:textId="10C61C93" w:rsidR="00CD6A9C" w:rsidRPr="00CD6A9C" w:rsidRDefault="00CD6A9C" w:rsidP="00CD6A9C">
    <w:pPr>
      <w:pStyle w:val="Footer"/>
      <w:jc w:val="center"/>
      <w:rPr>
        <w:rFonts w:asciiTheme="minorHAnsi" w:hAnsiTheme="minorHAnsi"/>
        <w:sz w:val="16"/>
        <w:szCs w:val="16"/>
      </w:rPr>
    </w:pPr>
    <w:r w:rsidRPr="00CD6A9C">
      <w:rPr>
        <w:rFonts w:asciiTheme="minorHAnsi" w:hAnsiTheme="minorHAnsi"/>
        <w:b/>
        <w:bCs/>
        <w:noProof/>
        <w:color w:val="F7CA35"/>
        <w:sz w:val="72"/>
        <w:szCs w:val="72"/>
      </w:rPr>
      <w:drawing>
        <wp:anchor distT="0" distB="0" distL="114300" distR="114300" simplePos="0" relativeHeight="251661312" behindDoc="1" locked="0" layoutInCell="1" allowOverlap="1" wp14:anchorId="5AE85788" wp14:editId="4142B06D">
          <wp:simplePos x="0" y="0"/>
          <wp:positionH relativeFrom="column">
            <wp:posOffset>-1107831</wp:posOffset>
          </wp:positionH>
          <wp:positionV relativeFrom="paragraph">
            <wp:posOffset>0</wp:posOffset>
          </wp:positionV>
          <wp:extent cx="4992856" cy="767570"/>
          <wp:effectExtent l="0" t="0" r="0" b="0"/>
          <wp:wrapNone/>
          <wp:docPr id="835690356"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rot="10800000"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r w:rsidRPr="00CD6A9C">
      <w:rPr>
        <w:rFonts w:asciiTheme="minorHAnsi" w:hAnsiTheme="minorHAnsi"/>
        <w:b/>
        <w:bCs/>
        <w:sz w:val="15"/>
        <w:szCs w:val="15"/>
      </w:rPr>
      <w:t>Corp</w:t>
    </w:r>
    <w:r w:rsidRPr="00CD6A9C">
      <w:rPr>
        <w:rFonts w:asciiTheme="minorHAnsi" w:hAnsiTheme="minorHAnsi"/>
        <w:sz w:val="15"/>
        <w:szCs w:val="15"/>
      </w:rPr>
      <w:t>Dev.Ai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7F9B" w14:textId="77777777" w:rsidR="00192FE9" w:rsidRDefault="00192FE9" w:rsidP="00CD6A9C">
      <w:r>
        <w:separator/>
      </w:r>
    </w:p>
  </w:footnote>
  <w:footnote w:type="continuationSeparator" w:id="0">
    <w:p w14:paraId="72AD68B1" w14:textId="77777777" w:rsidR="00192FE9" w:rsidRDefault="00192FE9" w:rsidP="00CD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C253" w14:textId="526711E9" w:rsidR="00CD6A9C" w:rsidRDefault="00CD6A9C">
    <w:pPr>
      <w:pStyle w:val="Header"/>
    </w:pPr>
    <w:r w:rsidRPr="00B26528">
      <w:rPr>
        <w:b/>
        <w:bCs/>
        <w:noProof/>
        <w:color w:val="F7CA35"/>
        <w:sz w:val="96"/>
        <w:szCs w:val="96"/>
      </w:rPr>
      <w:drawing>
        <wp:anchor distT="0" distB="0" distL="114300" distR="114300" simplePos="0" relativeHeight="251659264" behindDoc="1" locked="0" layoutInCell="1" allowOverlap="1" wp14:anchorId="763B784D" wp14:editId="6D88422B">
          <wp:simplePos x="0" y="0"/>
          <wp:positionH relativeFrom="column">
            <wp:posOffset>2435225</wp:posOffset>
          </wp:positionH>
          <wp:positionV relativeFrom="paragraph">
            <wp:posOffset>-447040</wp:posOffset>
          </wp:positionV>
          <wp:extent cx="4992856" cy="767570"/>
          <wp:effectExtent l="0" t="0" r="0" b="0"/>
          <wp:wrapNone/>
          <wp:docPr id="313683058"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p>
  <w:p w14:paraId="4F72BC0C" w14:textId="77777777" w:rsidR="00CD6A9C" w:rsidRDefault="00CD6A9C">
    <w:pPr>
      <w:pStyle w:val="Header"/>
    </w:pPr>
  </w:p>
  <w:p w14:paraId="115101E7" w14:textId="32ED7218" w:rsidR="00CD6A9C" w:rsidRDefault="00CD6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1EEE"/>
    <w:multiLevelType w:val="hybridMultilevel"/>
    <w:tmpl w:val="A570568C"/>
    <w:lvl w:ilvl="0" w:tplc="9DDA2706">
      <w:start w:val="1"/>
      <w:numFmt w:val="bullet"/>
      <w:lvlText w:val="•"/>
      <w:lvlJc w:val="left"/>
      <w:pPr>
        <w:ind w:left="720" w:hanging="360"/>
      </w:pPr>
      <w:rPr>
        <w:rFonts w:ascii="Inter" w:eastAsia="Inter" w:hAnsi="Inter" w:cs="Inter"/>
        <w:b w:val="0"/>
        <w:bCs w:val="0"/>
        <w:sz w:val="20"/>
        <w:szCs w:val="20"/>
      </w:rPr>
    </w:lvl>
    <w:lvl w:ilvl="1" w:tplc="7CD0CD52">
      <w:start w:val="1"/>
      <w:numFmt w:val="bullet"/>
      <w:lvlText w:val="◦"/>
      <w:lvlJc w:val="left"/>
      <w:pPr>
        <w:ind w:left="1440" w:hanging="360"/>
      </w:pPr>
      <w:rPr>
        <w:rFonts w:ascii="Inter" w:eastAsia="Inter" w:hAnsi="Inter" w:cs="Inter"/>
        <w:b w:val="0"/>
        <w:bCs w:val="0"/>
        <w:sz w:val="20"/>
        <w:szCs w:val="20"/>
      </w:rPr>
    </w:lvl>
    <w:lvl w:ilvl="2" w:tplc="7108A202">
      <w:start w:val="1"/>
      <w:numFmt w:val="bullet"/>
      <w:lvlText w:val="▪"/>
      <w:lvlJc w:val="left"/>
      <w:pPr>
        <w:ind w:left="2160" w:hanging="360"/>
      </w:pPr>
      <w:rPr>
        <w:rFonts w:ascii="Inter" w:eastAsia="Inter" w:hAnsi="Inter" w:cs="Inter"/>
        <w:b w:val="0"/>
        <w:bCs w:val="0"/>
        <w:sz w:val="20"/>
        <w:szCs w:val="20"/>
      </w:rPr>
    </w:lvl>
    <w:lvl w:ilvl="3" w:tplc="8E14275E">
      <w:start w:val="1"/>
      <w:numFmt w:val="bullet"/>
      <w:lvlText w:val="•"/>
      <w:lvlJc w:val="left"/>
      <w:pPr>
        <w:ind w:left="2880" w:hanging="360"/>
      </w:pPr>
      <w:rPr>
        <w:rFonts w:ascii="Inter" w:eastAsia="Inter" w:hAnsi="Inter" w:cs="Inter"/>
        <w:b w:val="0"/>
        <w:bCs w:val="0"/>
        <w:sz w:val="20"/>
        <w:szCs w:val="20"/>
      </w:rPr>
    </w:lvl>
    <w:lvl w:ilvl="4" w:tplc="C37CE196">
      <w:start w:val="1"/>
      <w:numFmt w:val="bullet"/>
      <w:lvlText w:val="◦"/>
      <w:lvlJc w:val="left"/>
      <w:pPr>
        <w:ind w:left="3600" w:hanging="360"/>
      </w:pPr>
      <w:rPr>
        <w:rFonts w:ascii="Inter" w:eastAsia="Inter" w:hAnsi="Inter" w:cs="Inter"/>
        <w:b w:val="0"/>
        <w:bCs w:val="0"/>
        <w:sz w:val="20"/>
        <w:szCs w:val="20"/>
      </w:rPr>
    </w:lvl>
    <w:lvl w:ilvl="5" w:tplc="F78EA62E">
      <w:start w:val="1"/>
      <w:numFmt w:val="bullet"/>
      <w:lvlText w:val="▪"/>
      <w:lvlJc w:val="left"/>
      <w:pPr>
        <w:ind w:left="4320" w:hanging="360"/>
      </w:pPr>
      <w:rPr>
        <w:rFonts w:ascii="Inter" w:eastAsia="Inter" w:hAnsi="Inter" w:cs="Inter"/>
        <w:b w:val="0"/>
        <w:bCs w:val="0"/>
        <w:sz w:val="20"/>
        <w:szCs w:val="20"/>
      </w:rPr>
    </w:lvl>
    <w:lvl w:ilvl="6" w:tplc="D60293DC">
      <w:start w:val="1"/>
      <w:numFmt w:val="bullet"/>
      <w:lvlText w:val="•"/>
      <w:lvlJc w:val="left"/>
      <w:pPr>
        <w:ind w:left="5040" w:hanging="360"/>
      </w:pPr>
      <w:rPr>
        <w:rFonts w:ascii="Inter" w:eastAsia="Inter" w:hAnsi="Inter" w:cs="Inter"/>
        <w:b w:val="0"/>
        <w:bCs w:val="0"/>
        <w:sz w:val="20"/>
        <w:szCs w:val="20"/>
      </w:rPr>
    </w:lvl>
    <w:lvl w:ilvl="7" w:tplc="CF3497C8">
      <w:start w:val="1"/>
      <w:numFmt w:val="bullet"/>
      <w:lvlText w:val="•"/>
      <w:lvlJc w:val="left"/>
      <w:pPr>
        <w:ind w:left="5760" w:hanging="360"/>
      </w:pPr>
      <w:rPr>
        <w:rFonts w:ascii="Inter" w:eastAsia="Inter" w:hAnsi="Inter" w:cs="Inter"/>
        <w:b w:val="0"/>
        <w:bCs w:val="0"/>
        <w:sz w:val="20"/>
        <w:szCs w:val="20"/>
      </w:rPr>
    </w:lvl>
    <w:lvl w:ilvl="8" w:tplc="4D563ECC">
      <w:start w:val="1"/>
      <w:numFmt w:val="bullet"/>
      <w:lvlText w:val="•"/>
      <w:lvlJc w:val="left"/>
      <w:pPr>
        <w:ind w:left="6480" w:hanging="360"/>
      </w:pPr>
      <w:rPr>
        <w:rFonts w:ascii="Inter" w:eastAsia="Inter" w:hAnsi="Inter" w:cs="Inter"/>
        <w:b w:val="0"/>
        <w:bCs w:val="0"/>
        <w:sz w:val="20"/>
        <w:szCs w:val="20"/>
      </w:rPr>
    </w:lvl>
  </w:abstractNum>
  <w:abstractNum w:abstractNumId="1" w15:restartNumberingAfterBreak="0">
    <w:nsid w:val="1B861283"/>
    <w:multiLevelType w:val="hybridMultilevel"/>
    <w:tmpl w:val="ACFE1F22"/>
    <w:lvl w:ilvl="0" w:tplc="E4C628CE">
      <w:start w:val="1"/>
      <w:numFmt w:val="decimal"/>
      <w:lvlText w:val="%1."/>
      <w:lvlJc w:val="left"/>
      <w:pPr>
        <w:ind w:left="720"/>
      </w:pPr>
    </w:lvl>
    <w:lvl w:ilvl="1" w:tplc="BCD60AA0">
      <w:numFmt w:val="decimal"/>
      <w:lvlText w:val=""/>
      <w:lvlJc w:val="left"/>
    </w:lvl>
    <w:lvl w:ilvl="2" w:tplc="F4E45F16">
      <w:numFmt w:val="decimal"/>
      <w:lvlText w:val=""/>
      <w:lvlJc w:val="left"/>
    </w:lvl>
    <w:lvl w:ilvl="3" w:tplc="45CE3CA8">
      <w:numFmt w:val="decimal"/>
      <w:lvlText w:val=""/>
      <w:lvlJc w:val="left"/>
    </w:lvl>
    <w:lvl w:ilvl="4" w:tplc="76AC0F12">
      <w:numFmt w:val="decimal"/>
      <w:lvlText w:val=""/>
      <w:lvlJc w:val="left"/>
    </w:lvl>
    <w:lvl w:ilvl="5" w:tplc="81761A3A">
      <w:numFmt w:val="decimal"/>
      <w:lvlText w:val=""/>
      <w:lvlJc w:val="left"/>
    </w:lvl>
    <w:lvl w:ilvl="6" w:tplc="992814C4">
      <w:numFmt w:val="decimal"/>
      <w:lvlText w:val=""/>
      <w:lvlJc w:val="left"/>
    </w:lvl>
    <w:lvl w:ilvl="7" w:tplc="014658C6">
      <w:numFmt w:val="decimal"/>
      <w:lvlText w:val=""/>
      <w:lvlJc w:val="left"/>
    </w:lvl>
    <w:lvl w:ilvl="8" w:tplc="2A402E64">
      <w:numFmt w:val="decimal"/>
      <w:lvlText w:val=""/>
      <w:lvlJc w:val="left"/>
    </w:lvl>
  </w:abstractNum>
  <w:abstractNum w:abstractNumId="2" w15:restartNumberingAfterBreak="0">
    <w:nsid w:val="21AC73C3"/>
    <w:multiLevelType w:val="hybridMultilevel"/>
    <w:tmpl w:val="BBF07EF8"/>
    <w:lvl w:ilvl="0" w:tplc="711845C4">
      <w:start w:val="1"/>
      <w:numFmt w:val="decimal"/>
      <w:lvlText w:val="%1."/>
      <w:lvlJc w:val="left"/>
      <w:pPr>
        <w:ind w:left="720"/>
      </w:pPr>
    </w:lvl>
    <w:lvl w:ilvl="1" w:tplc="053C2BA0">
      <w:numFmt w:val="decimal"/>
      <w:lvlText w:val=""/>
      <w:lvlJc w:val="left"/>
    </w:lvl>
    <w:lvl w:ilvl="2" w:tplc="1F9643DC">
      <w:numFmt w:val="decimal"/>
      <w:lvlText w:val=""/>
      <w:lvlJc w:val="left"/>
    </w:lvl>
    <w:lvl w:ilvl="3" w:tplc="CCB02518">
      <w:numFmt w:val="decimal"/>
      <w:lvlText w:val=""/>
      <w:lvlJc w:val="left"/>
    </w:lvl>
    <w:lvl w:ilvl="4" w:tplc="8A323C6C">
      <w:numFmt w:val="decimal"/>
      <w:lvlText w:val=""/>
      <w:lvlJc w:val="left"/>
    </w:lvl>
    <w:lvl w:ilvl="5" w:tplc="84E61436">
      <w:numFmt w:val="decimal"/>
      <w:lvlText w:val=""/>
      <w:lvlJc w:val="left"/>
    </w:lvl>
    <w:lvl w:ilvl="6" w:tplc="CE508452">
      <w:numFmt w:val="decimal"/>
      <w:lvlText w:val=""/>
      <w:lvlJc w:val="left"/>
    </w:lvl>
    <w:lvl w:ilvl="7" w:tplc="AF2A6600">
      <w:numFmt w:val="decimal"/>
      <w:lvlText w:val=""/>
      <w:lvlJc w:val="left"/>
    </w:lvl>
    <w:lvl w:ilvl="8" w:tplc="9C4EE704">
      <w:numFmt w:val="decimal"/>
      <w:lvlText w:val=""/>
      <w:lvlJc w:val="left"/>
    </w:lvl>
  </w:abstractNum>
  <w:abstractNum w:abstractNumId="3" w15:restartNumberingAfterBreak="0">
    <w:nsid w:val="265260FE"/>
    <w:multiLevelType w:val="hybridMultilevel"/>
    <w:tmpl w:val="5FD84430"/>
    <w:lvl w:ilvl="0" w:tplc="4C2ED260">
      <w:start w:val="1"/>
      <w:numFmt w:val="decimal"/>
      <w:lvlText w:val="%1."/>
      <w:lvlJc w:val="left"/>
      <w:pPr>
        <w:ind w:left="720"/>
      </w:pPr>
    </w:lvl>
    <w:lvl w:ilvl="1" w:tplc="5B7C40FA">
      <w:numFmt w:val="decimal"/>
      <w:lvlText w:val=""/>
      <w:lvlJc w:val="left"/>
    </w:lvl>
    <w:lvl w:ilvl="2" w:tplc="48BEFD3E">
      <w:numFmt w:val="decimal"/>
      <w:lvlText w:val=""/>
      <w:lvlJc w:val="left"/>
    </w:lvl>
    <w:lvl w:ilvl="3" w:tplc="CA140F30">
      <w:numFmt w:val="decimal"/>
      <w:lvlText w:val=""/>
      <w:lvlJc w:val="left"/>
    </w:lvl>
    <w:lvl w:ilvl="4" w:tplc="0CBAB63A">
      <w:numFmt w:val="decimal"/>
      <w:lvlText w:val=""/>
      <w:lvlJc w:val="left"/>
    </w:lvl>
    <w:lvl w:ilvl="5" w:tplc="4A58A3F6">
      <w:numFmt w:val="decimal"/>
      <w:lvlText w:val=""/>
      <w:lvlJc w:val="left"/>
    </w:lvl>
    <w:lvl w:ilvl="6" w:tplc="93F82B1E">
      <w:numFmt w:val="decimal"/>
      <w:lvlText w:val=""/>
      <w:lvlJc w:val="left"/>
    </w:lvl>
    <w:lvl w:ilvl="7" w:tplc="6D04A774">
      <w:numFmt w:val="decimal"/>
      <w:lvlText w:val=""/>
      <w:lvlJc w:val="left"/>
    </w:lvl>
    <w:lvl w:ilvl="8" w:tplc="B164D764">
      <w:numFmt w:val="decimal"/>
      <w:lvlText w:val=""/>
      <w:lvlJc w:val="left"/>
    </w:lvl>
  </w:abstractNum>
  <w:abstractNum w:abstractNumId="4" w15:restartNumberingAfterBreak="0">
    <w:nsid w:val="52C04F38"/>
    <w:multiLevelType w:val="hybridMultilevel"/>
    <w:tmpl w:val="B92A170E"/>
    <w:lvl w:ilvl="0" w:tplc="C236221E">
      <w:start w:val="1"/>
      <w:numFmt w:val="decimal"/>
      <w:lvlText w:val="%1."/>
      <w:lvlJc w:val="left"/>
      <w:pPr>
        <w:ind w:left="720"/>
      </w:pPr>
    </w:lvl>
    <w:lvl w:ilvl="1" w:tplc="36CA512C">
      <w:numFmt w:val="decimal"/>
      <w:lvlText w:val=""/>
      <w:lvlJc w:val="left"/>
    </w:lvl>
    <w:lvl w:ilvl="2" w:tplc="871A8710">
      <w:numFmt w:val="decimal"/>
      <w:lvlText w:val=""/>
      <w:lvlJc w:val="left"/>
    </w:lvl>
    <w:lvl w:ilvl="3" w:tplc="10F4AC52">
      <w:numFmt w:val="decimal"/>
      <w:lvlText w:val=""/>
      <w:lvlJc w:val="left"/>
    </w:lvl>
    <w:lvl w:ilvl="4" w:tplc="3AA41562">
      <w:numFmt w:val="decimal"/>
      <w:lvlText w:val=""/>
      <w:lvlJc w:val="left"/>
    </w:lvl>
    <w:lvl w:ilvl="5" w:tplc="ACB4FC8A">
      <w:numFmt w:val="decimal"/>
      <w:lvlText w:val=""/>
      <w:lvlJc w:val="left"/>
    </w:lvl>
    <w:lvl w:ilvl="6" w:tplc="F09AED18">
      <w:numFmt w:val="decimal"/>
      <w:lvlText w:val=""/>
      <w:lvlJc w:val="left"/>
    </w:lvl>
    <w:lvl w:ilvl="7" w:tplc="39F602A4">
      <w:numFmt w:val="decimal"/>
      <w:lvlText w:val=""/>
      <w:lvlJc w:val="left"/>
    </w:lvl>
    <w:lvl w:ilvl="8" w:tplc="B896080E">
      <w:numFmt w:val="decimal"/>
      <w:lvlText w:val=""/>
      <w:lvlJc w:val="left"/>
    </w:lvl>
  </w:abstractNum>
  <w:abstractNum w:abstractNumId="5" w15:restartNumberingAfterBreak="0">
    <w:nsid w:val="557669AE"/>
    <w:multiLevelType w:val="hybridMultilevel"/>
    <w:tmpl w:val="00E821BA"/>
    <w:lvl w:ilvl="0" w:tplc="510A3D64">
      <w:start w:val="1"/>
      <w:numFmt w:val="decimal"/>
      <w:lvlText w:val="%1."/>
      <w:lvlJc w:val="left"/>
      <w:pPr>
        <w:ind w:left="720"/>
      </w:pPr>
    </w:lvl>
    <w:lvl w:ilvl="1" w:tplc="7366A920">
      <w:numFmt w:val="decimal"/>
      <w:lvlText w:val=""/>
      <w:lvlJc w:val="left"/>
    </w:lvl>
    <w:lvl w:ilvl="2" w:tplc="9DFC512E">
      <w:numFmt w:val="decimal"/>
      <w:lvlText w:val=""/>
      <w:lvlJc w:val="left"/>
    </w:lvl>
    <w:lvl w:ilvl="3" w:tplc="E8300EA8">
      <w:numFmt w:val="decimal"/>
      <w:lvlText w:val=""/>
      <w:lvlJc w:val="left"/>
    </w:lvl>
    <w:lvl w:ilvl="4" w:tplc="B05A1FB0">
      <w:numFmt w:val="decimal"/>
      <w:lvlText w:val=""/>
      <w:lvlJc w:val="left"/>
    </w:lvl>
    <w:lvl w:ilvl="5" w:tplc="E9CAAE64">
      <w:numFmt w:val="decimal"/>
      <w:lvlText w:val=""/>
      <w:lvlJc w:val="left"/>
    </w:lvl>
    <w:lvl w:ilvl="6" w:tplc="D2CC7B02">
      <w:numFmt w:val="decimal"/>
      <w:lvlText w:val=""/>
      <w:lvlJc w:val="left"/>
    </w:lvl>
    <w:lvl w:ilvl="7" w:tplc="849CE108">
      <w:numFmt w:val="decimal"/>
      <w:lvlText w:val=""/>
      <w:lvlJc w:val="left"/>
    </w:lvl>
    <w:lvl w:ilvl="8" w:tplc="74B826B4">
      <w:numFmt w:val="decimal"/>
      <w:lvlText w:val=""/>
      <w:lvlJc w:val="left"/>
    </w:lvl>
  </w:abstractNum>
  <w:abstractNum w:abstractNumId="6" w15:restartNumberingAfterBreak="0">
    <w:nsid w:val="5E6F1230"/>
    <w:multiLevelType w:val="hybridMultilevel"/>
    <w:tmpl w:val="DC3EC0C0"/>
    <w:lvl w:ilvl="0" w:tplc="2AFE9942">
      <w:start w:val="1"/>
      <w:numFmt w:val="decimal"/>
      <w:lvlText w:val="%1."/>
      <w:lvlJc w:val="left"/>
      <w:pPr>
        <w:ind w:left="720"/>
      </w:pPr>
    </w:lvl>
    <w:lvl w:ilvl="1" w:tplc="F9C47824">
      <w:numFmt w:val="decimal"/>
      <w:lvlText w:val=""/>
      <w:lvlJc w:val="left"/>
    </w:lvl>
    <w:lvl w:ilvl="2" w:tplc="899EF724">
      <w:numFmt w:val="decimal"/>
      <w:lvlText w:val=""/>
      <w:lvlJc w:val="left"/>
    </w:lvl>
    <w:lvl w:ilvl="3" w:tplc="D72C6CD2">
      <w:numFmt w:val="decimal"/>
      <w:lvlText w:val=""/>
      <w:lvlJc w:val="left"/>
    </w:lvl>
    <w:lvl w:ilvl="4" w:tplc="233C3F64">
      <w:numFmt w:val="decimal"/>
      <w:lvlText w:val=""/>
      <w:lvlJc w:val="left"/>
    </w:lvl>
    <w:lvl w:ilvl="5" w:tplc="31D411BC">
      <w:numFmt w:val="decimal"/>
      <w:lvlText w:val=""/>
      <w:lvlJc w:val="left"/>
    </w:lvl>
    <w:lvl w:ilvl="6" w:tplc="C6265880">
      <w:numFmt w:val="decimal"/>
      <w:lvlText w:val=""/>
      <w:lvlJc w:val="left"/>
    </w:lvl>
    <w:lvl w:ilvl="7" w:tplc="7B46C708">
      <w:numFmt w:val="decimal"/>
      <w:lvlText w:val=""/>
      <w:lvlJc w:val="left"/>
    </w:lvl>
    <w:lvl w:ilvl="8" w:tplc="1B24B422">
      <w:numFmt w:val="decimal"/>
      <w:lvlText w:val=""/>
      <w:lvlJc w:val="left"/>
    </w:lvl>
  </w:abstractNum>
  <w:abstractNum w:abstractNumId="7" w15:restartNumberingAfterBreak="0">
    <w:nsid w:val="77374773"/>
    <w:multiLevelType w:val="hybridMultilevel"/>
    <w:tmpl w:val="7070DB3C"/>
    <w:lvl w:ilvl="0" w:tplc="0C624D02">
      <w:start w:val="1"/>
      <w:numFmt w:val="decimal"/>
      <w:lvlText w:val="%1."/>
      <w:lvlJc w:val="left"/>
      <w:pPr>
        <w:ind w:left="720"/>
      </w:pPr>
    </w:lvl>
    <w:lvl w:ilvl="1" w:tplc="D3CE11BE">
      <w:numFmt w:val="decimal"/>
      <w:lvlText w:val=""/>
      <w:lvlJc w:val="left"/>
    </w:lvl>
    <w:lvl w:ilvl="2" w:tplc="1F3456F6">
      <w:numFmt w:val="decimal"/>
      <w:lvlText w:val=""/>
      <w:lvlJc w:val="left"/>
    </w:lvl>
    <w:lvl w:ilvl="3" w:tplc="AADC5A4C">
      <w:numFmt w:val="decimal"/>
      <w:lvlText w:val=""/>
      <w:lvlJc w:val="left"/>
    </w:lvl>
    <w:lvl w:ilvl="4" w:tplc="72BC2DE0">
      <w:numFmt w:val="decimal"/>
      <w:lvlText w:val=""/>
      <w:lvlJc w:val="left"/>
    </w:lvl>
    <w:lvl w:ilvl="5" w:tplc="693C9118">
      <w:numFmt w:val="decimal"/>
      <w:lvlText w:val=""/>
      <w:lvlJc w:val="left"/>
    </w:lvl>
    <w:lvl w:ilvl="6" w:tplc="B79A0CAE">
      <w:numFmt w:val="decimal"/>
      <w:lvlText w:val=""/>
      <w:lvlJc w:val="left"/>
    </w:lvl>
    <w:lvl w:ilvl="7" w:tplc="A9EEADBA">
      <w:numFmt w:val="decimal"/>
      <w:lvlText w:val=""/>
      <w:lvlJc w:val="left"/>
    </w:lvl>
    <w:lvl w:ilvl="8" w:tplc="54CEDBA8">
      <w:numFmt w:val="decimal"/>
      <w:lvlText w:val=""/>
      <w:lvlJc w:val="left"/>
    </w:lvl>
  </w:abstractNum>
  <w:num w:numId="1" w16cid:durableId="35542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C"/>
    <w:rsid w:val="00192FE9"/>
    <w:rsid w:val="0021101C"/>
    <w:rsid w:val="0051289F"/>
    <w:rsid w:val="005E1471"/>
    <w:rsid w:val="006A55A5"/>
    <w:rsid w:val="007226BB"/>
    <w:rsid w:val="007A2E3D"/>
    <w:rsid w:val="007F74EE"/>
    <w:rsid w:val="00814DC9"/>
    <w:rsid w:val="00B021C9"/>
    <w:rsid w:val="00B6718C"/>
    <w:rsid w:val="00CD6A9C"/>
    <w:rsid w:val="00E3001C"/>
    <w:rsid w:val="00E9680A"/>
    <w:rsid w:val="00FF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2596D"/>
  <w15:docId w15:val="{AC64D8FF-DA9C-B441-ABA7-92A0F38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pacing w:val="-2"/>
        <w:sz w:val="20"/>
        <w:szCs w:val="2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70" w:after="90" w:line="240" w:lineRule="auto"/>
      <w:outlineLvl w:val="0"/>
    </w:pPr>
    <w:rPr>
      <w:rFonts w:ascii="Tahoma" w:eastAsia="Tahoma" w:hAnsi="Tahoma" w:cs="Tahoma"/>
      <w:b/>
      <w:bCs/>
      <w:color w:val="1a1a1a"/>
      <w:spacing w:val="-10"/>
      <w:sz w:val="51"/>
      <w:szCs w:val="51"/>
    </w:rPr>
  </w:style>
  <w:style w:type="paragraph" w:styleId="Heading2">
    <w:name w:val="heading 2"/>
    <w:basedOn w:val="Normal"/>
    <w:next w:val="Normal"/>
    <w:uiPriority w:val="9"/>
    <w:qFormat/>
    <w:pPr>
      <w:keepNext/>
      <w:spacing w:before="210" w:after="90" w:line="240" w:lineRule="auto"/>
      <w:outlineLvl w:val="1"/>
    </w:pPr>
    <w:rPr>
      <w:rFonts w:ascii="Tahoma" w:eastAsia="Tahoma" w:hAnsi="Tahoma" w:cs="Tahoma"/>
      <w:b/>
      <w:bCs/>
      <w:color w:val="1a1a1a"/>
      <w:spacing w:val="-8"/>
      <w:sz w:val="39"/>
      <w:szCs w:val="39"/>
    </w:rPr>
  </w:style>
  <w:style w:type="paragraph" w:styleId="Heading3">
    <w:name w:val="heading 3"/>
    <w:basedOn w:val="Normal"/>
    <w:next w:val="Normal"/>
    <w:uiPriority w:val="9"/>
    <w:qFormat/>
    <w:pPr>
      <w:keepNext/>
      <w:spacing w:before="180" w:after="90" w:line="240" w:lineRule="auto"/>
      <w:outlineLvl w:val="2"/>
    </w:pPr>
    <w:rPr>
      <w:rFonts w:ascii="Tahoma" w:eastAsia="Tahoma" w:hAnsi="Tahoma" w:cs="Tahoma"/>
      <w:b/>
      <w:bCs/>
      <w:color w:val="1a1a1a"/>
      <w:spacing w:val="-6"/>
      <w:sz w:val="28"/>
      <w:szCs w:val="28"/>
    </w:rPr>
  </w:style>
  <w:style w:type="paragraph" w:styleId="Heading4">
    <w:name w:val="heading 4"/>
    <w:basedOn w:val="Normal"/>
    <w:next w:val="Normal"/>
    <w:uiPriority w:val="9"/>
    <w:qFormat/>
    <w:pPr>
      <w:keepNext/>
      <w:spacing w:before="150" w:after="90" w:line="240" w:lineRule="auto"/>
      <w:outlineLvl w:val="3"/>
    </w:pPr>
    <w:rPr>
      <w:rFonts w:ascii="Tahoma" w:eastAsia="Tahoma" w:hAnsi="Tahoma" w:cs="Tahoma"/>
      <w:b/>
      <w:bCs/>
      <w:color w:val="1a1a1a"/>
      <w:spacing w:val="-5"/>
      <w:sz w:val="25"/>
      <w:szCs w:val="25"/>
    </w:rPr>
  </w:style>
  <w:style w:type="paragraph" w:styleId="Heading5">
    <w:name w:val="heading 5"/>
    <w:basedOn w:val="Normal"/>
    <w:next w:val="Normal"/>
    <w:uiPriority w:val="9"/>
    <w:qFormat/>
    <w:pPr>
      <w:keepNext/>
      <w:spacing w:before="120" w:after="90" w:line="240" w:lineRule="auto"/>
      <w:outlineLvl w:val="4"/>
    </w:pPr>
    <w:rPr>
      <w:rFonts w:ascii="Tahoma" w:eastAsia="Tahoma" w:hAnsi="Tahoma" w:cs="Tahoma"/>
      <w:b/>
      <w:bCs/>
      <w:color w:val="1a1a1a"/>
      <w:spacing w:val="-5"/>
      <w:sz w:val="23"/>
      <w:szCs w:val="23"/>
    </w:rPr>
  </w:style>
  <w:style w:type="paragraph" w:styleId="Heading6">
    <w:name w:val="heading 6"/>
    <w:basedOn w:val="Normal"/>
    <w:next w:val="Normal"/>
    <w:uiPriority w:val="9"/>
    <w:qFormat/>
    <w:pPr>
      <w:keepNext/>
      <w:spacing w:before="120" w:after="90" w:line="240" w:lineRule="auto"/>
      <w:outlineLvl w:val="5"/>
    </w:pPr>
    <w:rPr>
      <w:rFonts w:ascii="Tahoma" w:eastAsia="Tahoma" w:hAnsi="Tahoma" w:cs="Tahoma"/>
      <w:b/>
      <w:bCs/>
      <w:color w:val="1a1a1a"/>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D6A9C"/>
    <w:pPr>
      <w:tabs>
        <w:tab w:val="center" w:pos="4680"/>
        <w:tab w:val="right" w:pos="9360"/>
      </w:tabs>
    </w:pPr>
  </w:style>
  <w:style w:type="character" w:customStyle="1" w:styleId="HeaderChar">
    <w:name w:val="Header Char"/>
    <w:basedOn w:val="DefaultParagraphFont"/>
    <w:link w:val="Header"/>
    <w:uiPriority w:val="99"/>
    <w:rsid w:val="00CD6A9C"/>
  </w:style>
  <w:style w:type="paragraph" w:styleId="Footer">
    <w:name w:val="footer"/>
    <w:basedOn w:val="Normal"/>
    <w:link w:val="FooterChar"/>
    <w:uiPriority w:val="99"/>
    <w:unhideWhenUsed/>
    <w:rsid w:val="00CD6A9C"/>
    <w:pPr>
      <w:tabs>
        <w:tab w:val="center" w:pos="4680"/>
        <w:tab w:val="right" w:pos="9360"/>
      </w:tabs>
    </w:pPr>
  </w:style>
  <w:style w:type="character" w:customStyle="1" w:styleId="FooterChar">
    <w:name w:val="Footer Char"/>
    <w:basedOn w:val="DefaultParagraphFont"/>
    <w:link w:val="Footer"/>
    <w:uiPriority w:val="99"/>
    <w:rsid w:val="00CD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f8872820b6be29676413b09acc9c1253d34a76c4.jpeg"/><Relationship Id="rId8o1qwxs1jdijsxsmhqln8" Type="http://schemas.openxmlformats.org/officeDocument/2006/relationships/hyperlink" Target="/share/juJ2h4sK8yd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Kal Kilpi</cp:lastModifiedBy>
  <cp:revision>6</cp:revision>
  <dcterms:created xsi:type="dcterms:W3CDTF">2025-08-17T20:13:00Z</dcterms:created>
  <dcterms:modified xsi:type="dcterms:W3CDTF">2026-03-05T02:52:00Z</dcterms:modified>
</cp:coreProperties>
</file>